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E02" w:rsidRDefault="00924179">
      <w:pPr>
        <w:spacing w:line="360" w:lineRule="auto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>TERMO DE REFERÊNCIA</w:t>
      </w:r>
    </w:p>
    <w:p w:rsidR="004F0E02" w:rsidRDefault="00924179">
      <w:pPr>
        <w:spacing w:line="360" w:lineRule="auto"/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Sistema de Registro de Preços</w:t>
      </w:r>
    </w:p>
    <w:p w:rsidR="004F0E02" w:rsidRDefault="00924179">
      <w:pPr>
        <w:spacing w:line="360" w:lineRule="auto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>PREGÃO ELETRÔNICO</w:t>
      </w:r>
    </w:p>
    <w:p w:rsidR="004F0E02" w:rsidRDefault="00924179">
      <w:pPr>
        <w:spacing w:line="360" w:lineRule="auto"/>
        <w:jc w:val="center"/>
        <w:rPr>
          <w:rFonts w:cs="Arial"/>
          <w:bCs/>
          <w:iCs/>
          <w:color w:val="000000"/>
        </w:rPr>
      </w:pPr>
      <w:r>
        <w:rPr>
          <w:rFonts w:cs="Arial"/>
          <w:bCs/>
          <w:iCs/>
          <w:color w:val="000000"/>
        </w:rPr>
        <w:t>(COMPRAS)</w:t>
      </w:r>
    </w:p>
    <w:p w:rsidR="004F0E02" w:rsidRDefault="004F0E02">
      <w:pPr>
        <w:spacing w:line="360" w:lineRule="auto"/>
        <w:jc w:val="center"/>
        <w:rPr>
          <w:rFonts w:cs="Arial"/>
          <w:b/>
          <w:bCs/>
          <w:color w:val="000000"/>
        </w:rPr>
      </w:pPr>
    </w:p>
    <w:p w:rsidR="004F0E02" w:rsidRDefault="00924179">
      <w:pPr>
        <w:spacing w:line="360" w:lineRule="auto"/>
        <w:jc w:val="center"/>
        <w:rPr>
          <w:rFonts w:cs="Arial"/>
          <w:b/>
          <w:bCs/>
          <w:i/>
          <w:color w:val="000000"/>
        </w:rPr>
      </w:pPr>
      <w:r>
        <w:rPr>
          <w:rFonts w:cs="Arial"/>
          <w:b/>
          <w:bCs/>
          <w:i/>
          <w:color w:val="000000"/>
        </w:rPr>
        <w:t xml:space="preserve">INSTITUTO FEDERAL DE EDUCAÇÃO, CIENCIA E TECNOLOGIA </w:t>
      </w:r>
      <w:proofErr w:type="gramStart"/>
      <w:r>
        <w:rPr>
          <w:rFonts w:cs="Arial"/>
          <w:b/>
          <w:bCs/>
          <w:i/>
          <w:color w:val="000000"/>
        </w:rPr>
        <w:t>FARROUPILHA</w:t>
      </w:r>
      <w:proofErr w:type="gramEnd"/>
    </w:p>
    <w:p w:rsidR="004F0E02" w:rsidRDefault="00924179">
      <w:pPr>
        <w:spacing w:line="360" w:lineRule="auto"/>
        <w:jc w:val="center"/>
        <w:rPr>
          <w:rFonts w:cs="Arial"/>
          <w:b/>
          <w:bCs/>
          <w:i/>
          <w:color w:val="000000"/>
        </w:rPr>
      </w:pPr>
      <w:r>
        <w:rPr>
          <w:rFonts w:cs="Arial"/>
          <w:b/>
          <w:bCs/>
          <w:i/>
          <w:color w:val="000000"/>
        </w:rPr>
        <w:t>CAMPUS JÚLIO DE CASTILHOS</w:t>
      </w:r>
    </w:p>
    <w:p w:rsidR="004F0E02" w:rsidRDefault="00924179">
      <w:pPr>
        <w:spacing w:line="360" w:lineRule="auto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 xml:space="preserve">PREGÃO </w:t>
      </w:r>
      <w:r>
        <w:rPr>
          <w:rFonts w:cs="Arial"/>
          <w:b/>
          <w:bCs/>
        </w:rPr>
        <w:t xml:space="preserve">SRP </w:t>
      </w:r>
      <w:r>
        <w:rPr>
          <w:rFonts w:cs="Arial"/>
          <w:b/>
          <w:bCs/>
          <w:color w:val="000000"/>
        </w:rPr>
        <w:t>Nº 08/2018</w:t>
      </w:r>
    </w:p>
    <w:p w:rsidR="004F0E02" w:rsidRDefault="00924179">
      <w:pPr>
        <w:spacing w:line="360" w:lineRule="auto"/>
        <w:jc w:val="center"/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(Processo Administrativo n.°23.239.000093/2018-11)</w:t>
      </w:r>
    </w:p>
    <w:p w:rsidR="004F0E02" w:rsidRDefault="004F0E02">
      <w:pPr>
        <w:spacing w:before="0" w:after="120" w:line="360" w:lineRule="auto"/>
        <w:ind w:right="-15"/>
        <w:jc w:val="center"/>
        <w:rPr>
          <w:rFonts w:cs="Arial"/>
          <w:b/>
          <w:bCs/>
          <w:color w:val="000000"/>
        </w:rPr>
      </w:pPr>
    </w:p>
    <w:p w:rsidR="004F0E02" w:rsidRDefault="00924179">
      <w:pPr>
        <w:numPr>
          <w:ilvl w:val="0"/>
          <w:numId w:val="1"/>
        </w:numPr>
        <w:spacing w:before="0" w:after="120" w:line="360" w:lineRule="auto"/>
        <w:ind w:right="-15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>DO OBJETO</w:t>
      </w:r>
    </w:p>
    <w:p w:rsidR="004F0E02" w:rsidRDefault="004F0E02">
      <w:pPr>
        <w:spacing w:before="0" w:after="120" w:line="360" w:lineRule="auto"/>
        <w:ind w:left="360" w:right="-15"/>
        <w:rPr>
          <w:rFonts w:cs="Arial"/>
          <w:b/>
          <w:color w:val="000000"/>
        </w:rPr>
      </w:pPr>
    </w:p>
    <w:p w:rsidR="004F0E02" w:rsidRDefault="00924179">
      <w:pPr>
        <w:numPr>
          <w:ilvl w:val="1"/>
          <w:numId w:val="2"/>
        </w:numPr>
        <w:spacing w:before="120" w:after="120" w:line="360" w:lineRule="auto"/>
        <w:rPr>
          <w:rFonts w:cs="Arial"/>
        </w:rPr>
      </w:pPr>
      <w:bookmarkStart w:id="0" w:name="__DdeLink__1586_313664271"/>
      <w:r>
        <w:rPr>
          <w:rFonts w:cs="Arial"/>
        </w:rPr>
        <w:t>Aquisição de materiais de laboratório para atividades de ensino, pesquisa e extensão do IFFAR, conforme condições, quantidades, exigências e estimativas, inclusive as encaminhadas pelos órgãos e entidades participantes, estabelecidas neste instrumento</w:t>
      </w:r>
      <w:bookmarkEnd w:id="0"/>
      <w:r>
        <w:rPr>
          <w:rFonts w:cs="Arial"/>
        </w:rPr>
        <w:t>:</w:t>
      </w:r>
    </w:p>
    <w:p w:rsidR="004F0E02" w:rsidRDefault="00924179">
      <w:pPr>
        <w:tabs>
          <w:tab w:val="left" w:pos="5040"/>
        </w:tabs>
        <w:spacing w:before="0" w:after="120" w:line="360" w:lineRule="auto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ab/>
      </w:r>
    </w:p>
    <w:p w:rsidR="004F0E02" w:rsidRDefault="00924179">
      <w:pPr>
        <w:spacing w:before="0" w:after="120" w:line="360" w:lineRule="auto"/>
        <w:rPr>
          <w:rFonts w:cs="Arial"/>
          <w:i/>
          <w:color w:val="000000"/>
        </w:rPr>
      </w:pPr>
      <w:r>
        <w:rPr>
          <w:rFonts w:cs="Arial"/>
          <w:i/>
          <w:color w:val="000000"/>
        </w:rPr>
        <w:lastRenderedPageBreak/>
        <w:t>1.2 Estimativas de consumo individualizadas, do órgão gerenciador e órgão(s) e entidade(s) participante(s) encontram-se no Anexo I-A DESCRIÇÕES E QUANTITATIVOS</w:t>
      </w:r>
      <w:proofErr w:type="gramStart"/>
      <w:r>
        <w:rPr>
          <w:rFonts w:cs="Arial"/>
          <w:i/>
          <w:color w:val="000000"/>
        </w:rPr>
        <w:t>..</w:t>
      </w:r>
      <w:proofErr w:type="gramEnd"/>
    </w:p>
    <w:p w:rsidR="004F0E02" w:rsidRDefault="004F0E02">
      <w:pPr>
        <w:spacing w:before="0" w:after="120" w:line="360" w:lineRule="auto"/>
        <w:rPr>
          <w:rFonts w:cs="Arial"/>
          <w:b/>
          <w:color w:val="000000"/>
        </w:rPr>
      </w:pPr>
    </w:p>
    <w:p w:rsidR="004F0E02" w:rsidRDefault="00924179">
      <w:pPr>
        <w:numPr>
          <w:ilvl w:val="0"/>
          <w:numId w:val="1"/>
        </w:numPr>
        <w:spacing w:before="0" w:after="120" w:line="360" w:lineRule="auto"/>
        <w:rPr>
          <w:rFonts w:cs="Arial"/>
          <w:b/>
        </w:rPr>
      </w:pPr>
      <w:r>
        <w:rPr>
          <w:rFonts w:cs="Arial"/>
          <w:b/>
        </w:rPr>
        <w:t>JUSTIFICATIVA E OBJETIVO DA CONTRATAÇÃO</w:t>
      </w:r>
    </w:p>
    <w:p w:rsidR="004F0E02" w:rsidRDefault="00924179">
      <w:pPr>
        <w:numPr>
          <w:ilvl w:val="1"/>
          <w:numId w:val="1"/>
        </w:numPr>
        <w:tabs>
          <w:tab w:val="left" w:pos="1142"/>
        </w:tabs>
        <w:spacing w:before="0" w:after="120" w:line="360" w:lineRule="auto"/>
        <w:rPr>
          <w:rStyle w:val="Fontepargpadro2"/>
          <w:rFonts w:cs="Arial"/>
        </w:rPr>
      </w:pPr>
      <w:r>
        <w:rPr>
          <w:rStyle w:val="Fontepargpadro2"/>
          <w:rFonts w:cs="Arial"/>
        </w:rPr>
        <w:t xml:space="preserve">A presente licitação, na modalidade de Pregão no Sistema de Registro de Preços do objeto, para um período de 12 meses, objetivando o atendimento das necessidades de manutenção e pequenos reparos na infraestrutura do Campus de Júlio de Castilhos, bem como das </w:t>
      </w:r>
      <w:proofErr w:type="spellStart"/>
      <w:r>
        <w:rPr>
          <w:rStyle w:val="Fontepargpadro2"/>
          <w:rFonts w:cs="Arial"/>
        </w:rPr>
        <w:t>UASGs</w:t>
      </w:r>
      <w:proofErr w:type="spellEnd"/>
      <w:r>
        <w:rPr>
          <w:rStyle w:val="Fontepargpadro2"/>
          <w:rFonts w:cs="Arial"/>
        </w:rPr>
        <w:t xml:space="preserve"> participantes.</w:t>
      </w:r>
    </w:p>
    <w:p w:rsidR="004F0E02" w:rsidRDefault="00924179">
      <w:pPr>
        <w:numPr>
          <w:ilvl w:val="1"/>
          <w:numId w:val="1"/>
        </w:numPr>
        <w:tabs>
          <w:tab w:val="left" w:pos="1142"/>
        </w:tabs>
        <w:spacing w:before="0" w:after="120" w:line="360" w:lineRule="auto"/>
        <w:rPr>
          <w:rStyle w:val="Fontepargpadro2"/>
          <w:rFonts w:cs="Arial"/>
        </w:rPr>
      </w:pPr>
      <w:proofErr w:type="gramStart"/>
      <w:r>
        <w:rPr>
          <w:rStyle w:val="Fontepargpadro2"/>
          <w:rFonts w:cs="Arial"/>
        </w:rPr>
        <w:t>Visa,</w:t>
      </w:r>
      <w:proofErr w:type="gramEnd"/>
      <w:r>
        <w:rPr>
          <w:rStyle w:val="Fontepargpadro2"/>
          <w:rFonts w:cs="Arial"/>
        </w:rPr>
        <w:t xml:space="preserve"> também atender a necessidade de aquisição/reposição de materiais de laboratório, aqueles que devem ficar em estoque no Almoxarifado;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Style w:val="Fontepargpadro2"/>
          <w:rFonts w:cs="Arial"/>
          <w:color w:val="000000"/>
        </w:rPr>
      </w:pPr>
      <w:r>
        <w:rPr>
          <w:rStyle w:val="Fontepargpadro2"/>
          <w:rFonts w:cs="Arial"/>
          <w:color w:val="000000"/>
        </w:rPr>
        <w:t xml:space="preserve">Considerando a dinâmica do orçamento, dentro do cenário de disponibilidade e contingenciamentos, deliberou-se pela realização no Sistema de Registro de Preços, </w:t>
      </w:r>
      <w:proofErr w:type="gramStart"/>
      <w:r>
        <w:rPr>
          <w:rStyle w:val="Fontepargpadro2"/>
          <w:rFonts w:cs="Arial"/>
          <w:color w:val="000000"/>
        </w:rPr>
        <w:t>otimizando</w:t>
      </w:r>
      <w:proofErr w:type="gramEnd"/>
      <w:r>
        <w:rPr>
          <w:rStyle w:val="Fontepargpadro2"/>
          <w:rFonts w:cs="Arial"/>
          <w:color w:val="000000"/>
        </w:rPr>
        <w:t>-se o rito processual, buscando-se economia de esforços e de recursos.</w:t>
      </w:r>
    </w:p>
    <w:p w:rsidR="004F0E02" w:rsidRDefault="00924179">
      <w:pPr>
        <w:numPr>
          <w:ilvl w:val="0"/>
          <w:numId w:val="1"/>
        </w:numPr>
        <w:spacing w:before="120" w:after="120" w:line="360" w:lineRule="auto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>CLASSIFICAÇÃO DOS BENS COMUNS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Style w:val="Fontepargpadro2"/>
          <w:rFonts w:cs="Arial"/>
          <w:color w:val="000000"/>
        </w:rPr>
      </w:pPr>
      <w:proofErr w:type="gramStart"/>
      <w:r>
        <w:rPr>
          <w:rStyle w:val="Fontepargpadro2"/>
          <w:rFonts w:cs="Arial"/>
          <w:color w:val="000000"/>
        </w:rPr>
        <w:t>Os materiais acima descrito</w:t>
      </w:r>
      <w:proofErr w:type="gramEnd"/>
      <w:r>
        <w:rPr>
          <w:rStyle w:val="Fontepargpadro2"/>
          <w:rFonts w:cs="Arial"/>
          <w:color w:val="000000"/>
        </w:rPr>
        <w:t xml:space="preserve"> classificam-se como Bens Comuns, de acordo com o Art. 1º da Lei 10.520/2002.</w:t>
      </w:r>
    </w:p>
    <w:p w:rsidR="004F0E02" w:rsidRDefault="004F0E02">
      <w:pPr>
        <w:spacing w:before="0" w:after="120" w:line="360" w:lineRule="auto"/>
        <w:ind w:left="360" w:right="-15"/>
        <w:rPr>
          <w:rFonts w:cs="Arial"/>
          <w:b/>
          <w:bCs/>
          <w:color w:val="000000"/>
        </w:rPr>
      </w:pPr>
    </w:p>
    <w:p w:rsidR="004F0E02" w:rsidRDefault="00924179">
      <w:pPr>
        <w:numPr>
          <w:ilvl w:val="0"/>
          <w:numId w:val="1"/>
        </w:numPr>
        <w:spacing w:before="120" w:after="120" w:line="360" w:lineRule="auto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>ENTREGA E CRITÉRIOS DE ACEITAÇÃO DO OBJETO.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iCs/>
          <w:color w:val="000000"/>
        </w:rPr>
      </w:pPr>
      <w:r>
        <w:rPr>
          <w:rFonts w:cs="Arial"/>
          <w:iCs/>
          <w:color w:val="000000"/>
        </w:rPr>
        <w:lastRenderedPageBreak/>
        <w:t xml:space="preserve">O prazo de entrega dos bens é de 30(trinta) dias, contados </w:t>
      </w:r>
      <w:proofErr w:type="gramStart"/>
      <w:r>
        <w:rPr>
          <w:rFonts w:cs="Arial"/>
          <w:iCs/>
          <w:color w:val="000000"/>
        </w:rPr>
        <w:t>do(</w:t>
      </w:r>
      <w:proofErr w:type="gramEnd"/>
      <w:r>
        <w:rPr>
          <w:rFonts w:cs="Arial"/>
          <w:iCs/>
          <w:color w:val="000000"/>
        </w:rPr>
        <w:t xml:space="preserve">a) recebimento da nota de empenho, em remessa </w:t>
      </w:r>
      <w:r>
        <w:rPr>
          <w:rFonts w:cs="Arial"/>
          <w:i/>
          <w:iCs/>
          <w:color w:val="FF0000"/>
        </w:rPr>
        <w:t>única</w:t>
      </w:r>
      <w:r>
        <w:rPr>
          <w:rFonts w:cs="Arial"/>
          <w:iCs/>
          <w:color w:val="000000"/>
        </w:rPr>
        <w:t>, no seguinte endereço da unidade solicitante.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Os bens serão recebidos provisoriamente no prazo de 10(dez) dias, </w:t>
      </w:r>
      <w:proofErr w:type="gramStart"/>
      <w:r>
        <w:rPr>
          <w:rFonts w:cs="Arial"/>
          <w:color w:val="000000"/>
        </w:rPr>
        <w:t>pelo(</w:t>
      </w:r>
      <w:proofErr w:type="gramEnd"/>
      <w:r>
        <w:rPr>
          <w:rFonts w:cs="Arial"/>
          <w:color w:val="000000"/>
        </w:rPr>
        <w:t>a) responsável pelo acompanhamento e fiscalização do contrato, para efeito de posterior verificação de sua conformidade com as especificações constantes neste Termo de Referência e na proposta.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bCs/>
          <w:color w:val="000000"/>
        </w:rPr>
      </w:pPr>
      <w:r>
        <w:rPr>
          <w:rFonts w:cs="Arial"/>
          <w:bCs/>
          <w:color w:val="000000"/>
        </w:rPr>
        <w:t>Os bens poderão ser rejeitados, no todo ou em parte, quando em desacordo com as especificações constantes neste Termo de Referência e na proposta, devendo ser substituídos no prazo de 10(dez) dias, a contar da notificação da contratada, às suas custas, sem prejuízo da aplicação das penalidades.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>Os bens serão recebidos definitivamente no prazo de 15(quinze) dias, contados do recebimento provisório, após a verificação da qualidade e quantidade do material e consequente aceitação mediante termo circunstanciado.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Na hipótese de a verificação a que se refere o subitem anterior não ser procedida dentro do prazo fixado, reputar-se-á como realizada, consumando-se o recebimento definitivo no dia do esgotamento do prazo.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O recebimento provisório ou definitivo do objeto não exclui a responsabilidade da contratada pelos prejuízos resultantes da incorreta execução do contrato.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lastRenderedPageBreak/>
        <w:t>O recebimento provisório ou definitivo do objeto não exclui a responsabilidade da contratada pelos prejuízos resultantes da incorreta execução do contrato.</w:t>
      </w:r>
    </w:p>
    <w:p w:rsidR="004F0E02" w:rsidRDefault="004F0E02">
      <w:pPr>
        <w:spacing w:before="0" w:after="120" w:line="360" w:lineRule="auto"/>
        <w:ind w:left="567" w:right="-15"/>
        <w:rPr>
          <w:rFonts w:cs="Arial"/>
          <w:color w:val="000000"/>
        </w:rPr>
      </w:pPr>
    </w:p>
    <w:p w:rsidR="004F0E02" w:rsidRDefault="00924179">
      <w:pPr>
        <w:numPr>
          <w:ilvl w:val="0"/>
          <w:numId w:val="1"/>
        </w:numPr>
        <w:spacing w:before="120" w:after="120" w:line="360" w:lineRule="auto"/>
        <w:rPr>
          <w:rFonts w:cs="Arial"/>
          <w:b/>
          <w:bCs/>
          <w:color w:val="000000"/>
          <w:lang w:eastAsia="en-US"/>
        </w:rPr>
      </w:pPr>
      <w:r>
        <w:rPr>
          <w:rFonts w:cs="Arial"/>
          <w:b/>
          <w:bCs/>
          <w:color w:val="000000"/>
          <w:lang w:eastAsia="en-US"/>
        </w:rPr>
        <w:t>DAS OBRIGAÇÕES DA CONTRATANTE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São obrigações da Contratante: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Receber o objeto no prazo e condições estabelecidas no Edital e seus anexos;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  <w:lang w:eastAsia="en-US"/>
        </w:rPr>
      </w:pPr>
      <w:r>
        <w:rPr>
          <w:rFonts w:cs="Arial"/>
          <w:lang w:eastAsia="en-US"/>
        </w:rPr>
        <w:t>Verificar minuciosamente, no prazo fixado, a conformidade dos bens recebidos provisoriamente com as especificações constantes do Edital e da proposta, para fins de aceitação e recebimento definitivo;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Comunicar à Contratada, por escrito, sobre imperfeições, falhas ou irregularidades verificadas no objeto fornecido, para que seja substituído, reparado ou corrigido;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  <w:lang w:eastAsia="en-US"/>
        </w:rPr>
      </w:pPr>
      <w:r>
        <w:rPr>
          <w:rFonts w:cs="Arial"/>
          <w:lang w:eastAsia="en-US"/>
        </w:rPr>
        <w:t>Acompanhar e fiscalizar o cumprimento das obrigações da Contratada, através de comissão/servidor especialmente designado;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Efetuar o pagamento à Contratada</w:t>
      </w:r>
      <w:r>
        <w:rPr>
          <w:rFonts w:cs="Arial"/>
          <w:b/>
        </w:rPr>
        <w:t xml:space="preserve"> </w:t>
      </w:r>
      <w:r>
        <w:rPr>
          <w:rFonts w:cs="Arial"/>
        </w:rPr>
        <w:t>no valor correspondente ao fornecimento do objeto, no prazo e forma estabelecidos no Edital e seus anexos;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 xml:space="preserve">A Administração não responderá por quaisquer compromissos assumidos pela Contratada com terceiros, ainda que vinculados à execução do </w:t>
      </w:r>
      <w:r>
        <w:rPr>
          <w:rFonts w:cs="Arial"/>
        </w:rPr>
        <w:lastRenderedPageBreak/>
        <w:t>presente Termo de Contrato, bem como por qualquer dano causado a terceiros em decorrência de ato da Contratada, de seus empregados, prepostos ou subordinados.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A Administração realizará pesquisa de preços periodicamente, em prazo não superior a 180 (cento e oitenta) dias, a fim de verificar a </w:t>
      </w:r>
      <w:proofErr w:type="spellStart"/>
      <w:r>
        <w:rPr>
          <w:rFonts w:cs="Arial"/>
          <w:color w:val="000000"/>
        </w:rPr>
        <w:t>vantajosidade</w:t>
      </w:r>
      <w:proofErr w:type="spellEnd"/>
      <w:r>
        <w:rPr>
          <w:rFonts w:cs="Arial"/>
          <w:color w:val="000000"/>
        </w:rPr>
        <w:t xml:space="preserve"> dos preços registrados em Ata.</w:t>
      </w:r>
    </w:p>
    <w:p w:rsidR="004F0E02" w:rsidRDefault="004F0E02">
      <w:pPr>
        <w:spacing w:before="120" w:after="120" w:line="360" w:lineRule="auto"/>
        <w:ind w:left="425"/>
        <w:rPr>
          <w:rFonts w:cs="Arial"/>
          <w:color w:val="000000"/>
        </w:rPr>
      </w:pPr>
    </w:p>
    <w:p w:rsidR="004F0E02" w:rsidRDefault="004F0E02">
      <w:pPr>
        <w:spacing w:before="0" w:after="120" w:line="360" w:lineRule="auto"/>
        <w:ind w:left="360" w:right="-15"/>
        <w:rPr>
          <w:rFonts w:cs="Arial"/>
          <w:b/>
          <w:color w:val="000000"/>
        </w:rPr>
      </w:pPr>
    </w:p>
    <w:p w:rsidR="004F0E02" w:rsidRDefault="00924179">
      <w:pPr>
        <w:numPr>
          <w:ilvl w:val="0"/>
          <w:numId w:val="1"/>
        </w:numPr>
        <w:spacing w:before="0" w:after="120" w:line="360" w:lineRule="auto"/>
        <w:ind w:right="-15"/>
        <w:rPr>
          <w:rFonts w:cs="Arial"/>
          <w:b/>
        </w:rPr>
      </w:pPr>
      <w:r>
        <w:rPr>
          <w:rFonts w:cs="Arial"/>
          <w:b/>
        </w:rPr>
        <w:t>OBRIGAÇÕES DA CONTRATADA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A Contratada deve cumprir todas as obrigações constantes no Edital, seus anexos e sua proposta, assumindo como exclusivamente seus os riscos e as despesas decorrentes da boa e perfeita execução do objeto e, ainda: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Efetuar a entrega do objeto em perfeitas condições, conforme especificações, prazo e local constantes no Edital e seus anexos, acompanhado da respectiva nota fiscal, na qual constarão as indicações referentes </w:t>
      </w:r>
      <w:proofErr w:type="gramStart"/>
      <w:r>
        <w:rPr>
          <w:rFonts w:cs="Arial"/>
          <w:color w:val="000000"/>
        </w:rPr>
        <w:t>a</w:t>
      </w:r>
      <w:proofErr w:type="gramEnd"/>
      <w:r>
        <w:rPr>
          <w:rFonts w:cs="Arial"/>
          <w:color w:val="000000"/>
        </w:rPr>
        <w:t>: marca, fabricante, modelo, procedência e prazo de garantia ou validade;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Responsabilizar-se pelos vícios e danos decorrentes do objeto, de acordo com os artigos 12, 13 e 17 a 27, do Código de Defesa do Consumidor (Lei nº 8.078, de 1990);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lastRenderedPageBreak/>
        <w:t>Substituir, reparar ou corrigir, às suas expensas, no prazo fixado neste Termo de Referência, o objeto com avarias ou defeitos;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Comunicar à Contratante, no prazo máximo de 24 (vinte e quatro) horas que antecede a data da entrega, os motivos que impossibilitem o cumprimento do prazo previsto, com a devida comprovação;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Manter, durante toda a execução do contrato, em compatibilidade com as obrigações assumidas, todas as condições de habilitação e qualificação exigidas na licitação;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Indicar preposto para representá-la durante a execução do contrato.</w:t>
      </w:r>
    </w:p>
    <w:p w:rsidR="004F0E02" w:rsidRDefault="004F0E02">
      <w:pPr>
        <w:spacing w:before="0" w:after="120" w:line="360" w:lineRule="auto"/>
        <w:ind w:left="360" w:right="-15"/>
        <w:rPr>
          <w:rFonts w:cs="Arial"/>
          <w:b/>
          <w:color w:val="000000"/>
        </w:rPr>
      </w:pPr>
    </w:p>
    <w:p w:rsidR="004F0E02" w:rsidRDefault="00924179">
      <w:pPr>
        <w:numPr>
          <w:ilvl w:val="0"/>
          <w:numId w:val="1"/>
        </w:numPr>
        <w:spacing w:before="120" w:after="120" w:line="360" w:lineRule="auto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t>DA SUBCONTRATAÇÃO</w:t>
      </w:r>
    </w:p>
    <w:p w:rsidR="004F0E02" w:rsidRDefault="00924179">
      <w:pPr>
        <w:spacing w:before="120" w:after="120" w:line="360" w:lineRule="auto"/>
        <w:ind w:left="425"/>
        <w:rPr>
          <w:rFonts w:cs="Arial"/>
          <w:color w:val="auto"/>
        </w:rPr>
      </w:pPr>
      <w:r>
        <w:rPr>
          <w:rFonts w:cs="Arial"/>
          <w:color w:val="auto"/>
        </w:rPr>
        <w:t xml:space="preserve">7.1 Não </w:t>
      </w:r>
      <w:proofErr w:type="gramStart"/>
      <w:r>
        <w:rPr>
          <w:rFonts w:cs="Arial"/>
          <w:color w:val="auto"/>
        </w:rPr>
        <w:t>será</w:t>
      </w:r>
      <w:proofErr w:type="gramEnd"/>
      <w:r>
        <w:rPr>
          <w:rFonts w:cs="Arial"/>
          <w:color w:val="auto"/>
        </w:rPr>
        <w:t xml:space="preserve"> admitida a subcontratação do objeto licitatório.</w:t>
      </w:r>
    </w:p>
    <w:p w:rsidR="004F0E02" w:rsidRDefault="004F0E02">
      <w:pPr>
        <w:spacing w:before="120" w:after="120" w:line="360" w:lineRule="auto"/>
        <w:ind w:left="425"/>
        <w:rPr>
          <w:rFonts w:cs="Arial"/>
          <w:color w:val="000000"/>
          <w:lang w:eastAsia="en-US"/>
        </w:rPr>
      </w:pPr>
    </w:p>
    <w:p w:rsidR="004F0E02" w:rsidRDefault="00924179">
      <w:pPr>
        <w:numPr>
          <w:ilvl w:val="0"/>
          <w:numId w:val="1"/>
        </w:numPr>
        <w:spacing w:before="0" w:after="120" w:line="360" w:lineRule="auto"/>
        <w:ind w:right="-15"/>
        <w:rPr>
          <w:rFonts w:cs="Arial"/>
          <w:b/>
          <w:color w:val="000000"/>
          <w:lang w:eastAsia="en-US"/>
        </w:rPr>
      </w:pPr>
      <w:r>
        <w:rPr>
          <w:rFonts w:cs="Arial"/>
          <w:b/>
          <w:color w:val="000000"/>
          <w:lang w:eastAsia="en-US"/>
        </w:rPr>
        <w:t>ALTERAÇÃO SUBJETIVA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lang w:eastAsia="en-US"/>
        </w:rPr>
      </w:pPr>
      <w:r>
        <w:rPr>
          <w:rFonts w:cs="Arial"/>
          <w:lang w:eastAsia="en-US"/>
        </w:rPr>
        <w:t>É admissível a fusão, cisão ou incorporação da contratada com/em outra pessoa jurídica, desde que sejam observados pela nova pessoa jurídica todos os requisitos de habilitação exigidos na licitação original; sejam mantidas as demais cláusulas e condições do contrato; não haja prejuízo à execução do objeto pactuado e haja a anuência expressa da Administração à continuidade do contrato.</w:t>
      </w:r>
    </w:p>
    <w:p w:rsidR="004F0E02" w:rsidRDefault="004F0E02">
      <w:pPr>
        <w:spacing w:before="120" w:after="120" w:line="360" w:lineRule="auto"/>
        <w:ind w:left="425"/>
        <w:rPr>
          <w:rFonts w:cs="Arial"/>
          <w:lang w:eastAsia="en-US"/>
        </w:rPr>
      </w:pPr>
    </w:p>
    <w:p w:rsidR="004F0E02" w:rsidRDefault="00924179">
      <w:pPr>
        <w:numPr>
          <w:ilvl w:val="0"/>
          <w:numId w:val="1"/>
        </w:numPr>
        <w:spacing w:before="0" w:after="120" w:line="360" w:lineRule="auto"/>
        <w:ind w:right="-15"/>
        <w:rPr>
          <w:rFonts w:cs="Arial"/>
          <w:b/>
          <w:color w:val="000000"/>
          <w:lang w:eastAsia="en-US"/>
        </w:rPr>
      </w:pPr>
      <w:r>
        <w:rPr>
          <w:rFonts w:cs="Arial"/>
          <w:b/>
          <w:color w:val="000000"/>
          <w:lang w:eastAsia="en-US"/>
        </w:rPr>
        <w:t>CONTROLE DA EXECUÇÃO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</w:rPr>
      </w:pPr>
      <w:r>
        <w:rPr>
          <w:rFonts w:cs="Arial"/>
          <w:color w:val="000000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 w:rsidR="004F0E02" w:rsidRDefault="00924179">
      <w:pPr>
        <w:numPr>
          <w:ilvl w:val="2"/>
          <w:numId w:val="1"/>
        </w:numPr>
        <w:spacing w:before="120" w:after="120" w:line="360" w:lineRule="auto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 xml:space="preserve">O recebimento de material de valor superior a R$ 80.000,00 (oitenta mil reais) será confiado a uma comissão de, no mínimo, </w:t>
      </w:r>
      <w:proofErr w:type="gramStart"/>
      <w:r>
        <w:rPr>
          <w:rFonts w:cs="Arial"/>
          <w:color w:val="000000"/>
          <w:lang w:eastAsia="en-US"/>
        </w:rPr>
        <w:t>3</w:t>
      </w:r>
      <w:proofErr w:type="gramEnd"/>
      <w:r>
        <w:rPr>
          <w:rFonts w:cs="Arial"/>
          <w:color w:val="000000"/>
          <w:lang w:eastAsia="en-US"/>
        </w:rPr>
        <w:t xml:space="preserve"> (três) membros, designados pela autoridade competente.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 xml:space="preserve">A fiscalização de que trata este item não exclui nem reduz a </w:t>
      </w:r>
      <w:r>
        <w:rPr>
          <w:rFonts w:cs="Arial"/>
          <w:color w:val="000000"/>
        </w:rPr>
        <w:t>responsabilidade</w:t>
      </w:r>
      <w:r>
        <w:rPr>
          <w:rFonts w:cs="Arial"/>
          <w:color w:val="000000"/>
          <w:lang w:eastAsia="en-US"/>
        </w:rPr>
        <w:t xml:space="preserve"> da Contratada, inclusive perante terceiros, por qualquer irregularidade, ainda que resultante de imperfeições técnicas ou vícios redibitórios, e, na ocorrência desta, não implica em </w:t>
      </w:r>
      <w:proofErr w:type="spellStart"/>
      <w:proofErr w:type="gramStart"/>
      <w:r>
        <w:rPr>
          <w:rFonts w:cs="Arial"/>
          <w:color w:val="000000"/>
          <w:lang w:eastAsia="en-US"/>
        </w:rPr>
        <w:t>co-responsabilidade</w:t>
      </w:r>
      <w:proofErr w:type="spellEnd"/>
      <w:proofErr w:type="gramEnd"/>
      <w:r>
        <w:rPr>
          <w:rFonts w:cs="Arial"/>
          <w:color w:val="000000"/>
          <w:lang w:eastAsia="en-US"/>
        </w:rPr>
        <w:t xml:space="preserve"> da Administração ou de seus agentes e prepostos, de conformidade com o art. 70 da Lei nº 8.666, de 1993.</w:t>
      </w:r>
    </w:p>
    <w:p w:rsidR="004F0E02" w:rsidRDefault="00924179">
      <w:pPr>
        <w:numPr>
          <w:ilvl w:val="1"/>
          <w:numId w:val="1"/>
        </w:numPr>
        <w:spacing w:before="120" w:after="120" w:line="360" w:lineRule="auto"/>
        <w:rPr>
          <w:rFonts w:cs="Arial"/>
          <w:color w:val="000000"/>
          <w:lang w:eastAsia="en-US"/>
        </w:rPr>
      </w:pPr>
      <w:r>
        <w:rPr>
          <w:rFonts w:cs="Arial"/>
          <w:color w:val="000000"/>
          <w:lang w:eastAsia="en-US"/>
        </w:rPr>
        <w:t>O representante da Administração anotará em registro próprio todas as ocorrências relacionadas com a execução do contrato, indicando dia, mês e ano, bem como o nome dos funcionários eventualmente envolvidos, determinando o que for necessário à regularização das falhas ou defeitos observados e encaminhando os apontamentos à autoridade competente para as providências cabíveis.</w:t>
      </w:r>
    </w:p>
    <w:p w:rsidR="004F0E02" w:rsidRDefault="004F0E02">
      <w:pPr>
        <w:spacing w:before="0" w:after="120" w:line="360" w:lineRule="auto"/>
        <w:ind w:left="540" w:right="-17"/>
        <w:rPr>
          <w:rFonts w:cs="Arial"/>
          <w:color w:val="000000"/>
        </w:rPr>
      </w:pPr>
    </w:p>
    <w:p w:rsidR="004F0E02" w:rsidRDefault="00924179">
      <w:pPr>
        <w:numPr>
          <w:ilvl w:val="0"/>
          <w:numId w:val="1"/>
        </w:numPr>
        <w:spacing w:before="0" w:after="120" w:line="360" w:lineRule="auto"/>
        <w:ind w:right="-15"/>
        <w:rPr>
          <w:rFonts w:cs="Arial"/>
          <w:b/>
        </w:rPr>
      </w:pPr>
      <w:r>
        <w:rPr>
          <w:rFonts w:cs="Arial"/>
          <w:b/>
        </w:rPr>
        <w:t>DAS SANÇÕES ADMINISTRATIVAS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Em caso de inexecução do contrato, erro de execução, execução imperfeita, mora de execução, inadimplemento contratual ou não veracidade das informações prestadas, a licitante ou a contratada estarão sujeitas às seguintes sanções administrativas, garantida prévia defesa:</w:t>
      </w:r>
    </w:p>
    <w:p w:rsidR="004F0E02" w:rsidRDefault="00924179">
      <w:pPr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>
        <w:rPr>
          <w:rFonts w:eastAsia="Arial" w:cs="Arial"/>
        </w:rPr>
        <w:t xml:space="preserve">a) </w:t>
      </w:r>
      <w:r>
        <w:rPr>
          <w:rFonts w:cs="Arial"/>
        </w:rPr>
        <w:t>Advertência por</w:t>
      </w:r>
      <w:r>
        <w:rPr>
          <w:rFonts w:eastAsia="Verdana" w:cs="Arial"/>
        </w:rPr>
        <w:t xml:space="preserve"> </w:t>
      </w:r>
      <w:r>
        <w:rPr>
          <w:rFonts w:cs="Arial"/>
        </w:rPr>
        <w:t>escrito,</w:t>
      </w:r>
      <w:r>
        <w:rPr>
          <w:rFonts w:eastAsia="Verdana" w:cs="Arial"/>
        </w:rPr>
        <w:t xml:space="preserve"> </w:t>
      </w:r>
      <w:r>
        <w:rPr>
          <w:rFonts w:cs="Arial"/>
        </w:rPr>
        <w:t>especificando</w:t>
      </w:r>
      <w:r>
        <w:rPr>
          <w:rFonts w:eastAsia="Verdana" w:cs="Arial"/>
        </w:rPr>
        <w:t xml:space="preserve"> </w:t>
      </w:r>
      <w:r>
        <w:rPr>
          <w:rFonts w:cs="Arial"/>
        </w:rPr>
        <w:t>todas</w:t>
      </w:r>
      <w:r>
        <w:rPr>
          <w:rFonts w:eastAsia="Verdana" w:cs="Arial"/>
        </w:rPr>
        <w:t xml:space="preserve"> </w:t>
      </w:r>
      <w:r>
        <w:rPr>
          <w:rFonts w:cs="Arial"/>
        </w:rPr>
        <w:t>as</w:t>
      </w:r>
      <w:r>
        <w:rPr>
          <w:rFonts w:eastAsia="Verdana" w:cs="Arial"/>
        </w:rPr>
        <w:t xml:space="preserve"> </w:t>
      </w:r>
      <w:r>
        <w:rPr>
          <w:rFonts w:cs="Arial"/>
        </w:rPr>
        <w:t>pendências</w:t>
      </w:r>
      <w:r>
        <w:rPr>
          <w:rFonts w:eastAsia="Verdana" w:cs="Arial"/>
        </w:rPr>
        <w:t xml:space="preserve"> </w:t>
      </w:r>
      <w:r>
        <w:rPr>
          <w:rFonts w:cs="Arial"/>
        </w:rPr>
        <w:t>relacionadas</w:t>
      </w:r>
      <w:r>
        <w:rPr>
          <w:rFonts w:eastAsia="Verdana" w:cs="Arial"/>
        </w:rPr>
        <w:t xml:space="preserve"> </w:t>
      </w:r>
      <w:r>
        <w:rPr>
          <w:rFonts w:cs="Arial"/>
        </w:rPr>
        <w:t>ao</w:t>
      </w:r>
      <w:r>
        <w:rPr>
          <w:rFonts w:eastAsia="Verdana" w:cs="Arial"/>
        </w:rPr>
        <w:t xml:space="preserve"> </w:t>
      </w:r>
      <w:r>
        <w:rPr>
          <w:rFonts w:cs="Arial"/>
        </w:rPr>
        <w:t>Contrato,</w:t>
      </w:r>
      <w:r>
        <w:rPr>
          <w:rFonts w:eastAsia="Verdana" w:cs="Arial"/>
        </w:rPr>
        <w:t xml:space="preserve"> </w:t>
      </w:r>
      <w:r>
        <w:rPr>
          <w:rFonts w:cs="Arial"/>
        </w:rPr>
        <w:t>sendo</w:t>
      </w:r>
      <w:r>
        <w:rPr>
          <w:rFonts w:eastAsia="Verdana" w:cs="Arial"/>
        </w:rPr>
        <w:t xml:space="preserve"> </w:t>
      </w:r>
      <w:r>
        <w:rPr>
          <w:rFonts w:cs="Arial"/>
        </w:rPr>
        <w:t>que</w:t>
      </w:r>
      <w:r>
        <w:rPr>
          <w:rFonts w:eastAsia="Verdana" w:cs="Arial"/>
        </w:rPr>
        <w:t xml:space="preserve"> </w:t>
      </w:r>
      <w:r>
        <w:rPr>
          <w:rFonts w:cs="Arial"/>
        </w:rPr>
        <w:t>a</w:t>
      </w:r>
      <w:r>
        <w:rPr>
          <w:rFonts w:eastAsia="Verdana" w:cs="Arial"/>
        </w:rPr>
        <w:t xml:space="preserve"> </w:t>
      </w:r>
      <w:r>
        <w:rPr>
          <w:rFonts w:cs="Arial"/>
        </w:rPr>
        <w:t>Administração</w:t>
      </w:r>
      <w:r>
        <w:rPr>
          <w:rFonts w:eastAsia="Verdana" w:cs="Arial"/>
        </w:rPr>
        <w:t xml:space="preserve"> </w:t>
      </w:r>
      <w:r>
        <w:rPr>
          <w:rFonts w:cs="Arial"/>
        </w:rPr>
        <w:t>estipulará</w:t>
      </w:r>
      <w:r>
        <w:rPr>
          <w:rFonts w:eastAsia="Verdana" w:cs="Arial"/>
        </w:rPr>
        <w:t xml:space="preserve"> </w:t>
      </w:r>
      <w:r>
        <w:rPr>
          <w:rFonts w:cs="Arial"/>
        </w:rPr>
        <w:t>prazo</w:t>
      </w:r>
      <w:r>
        <w:rPr>
          <w:rFonts w:eastAsia="Verdana" w:cs="Arial"/>
        </w:rPr>
        <w:t xml:space="preserve"> </w:t>
      </w:r>
      <w:r>
        <w:rPr>
          <w:rFonts w:cs="Arial"/>
        </w:rPr>
        <w:t>para</w:t>
      </w:r>
      <w:r>
        <w:rPr>
          <w:rFonts w:eastAsia="Verdana" w:cs="Arial"/>
        </w:rPr>
        <w:t xml:space="preserve"> </w:t>
      </w:r>
      <w:r>
        <w:rPr>
          <w:rFonts w:cs="Arial"/>
        </w:rPr>
        <w:t>a</w:t>
      </w:r>
      <w:r>
        <w:rPr>
          <w:rFonts w:eastAsia="Verdana" w:cs="Arial"/>
        </w:rPr>
        <w:t xml:space="preserve"> </w:t>
      </w:r>
      <w:r>
        <w:rPr>
          <w:rFonts w:cs="Arial"/>
        </w:rPr>
        <w:t>resolução</w:t>
      </w:r>
      <w:r>
        <w:rPr>
          <w:rFonts w:eastAsia="Verdana" w:cs="Arial"/>
        </w:rPr>
        <w:t xml:space="preserve"> </w:t>
      </w:r>
      <w:r>
        <w:rPr>
          <w:rFonts w:cs="Arial"/>
        </w:rPr>
        <w:t>das</w:t>
      </w:r>
      <w:r>
        <w:rPr>
          <w:rFonts w:eastAsia="Verdana" w:cs="Arial"/>
        </w:rPr>
        <w:t xml:space="preserve"> </w:t>
      </w:r>
      <w:r>
        <w:rPr>
          <w:rFonts w:cs="Arial"/>
        </w:rPr>
        <w:t>mesmas;</w:t>
      </w:r>
    </w:p>
    <w:p w:rsidR="004F0E02" w:rsidRDefault="00924179">
      <w:pPr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>
        <w:rPr>
          <w:rFonts w:eastAsia="Arial" w:cs="Arial"/>
        </w:rPr>
        <w:t xml:space="preserve">b) </w:t>
      </w:r>
      <w:r>
        <w:rPr>
          <w:rFonts w:cs="Arial"/>
        </w:rPr>
        <w:t>Multas (que poderão ser recolhidas em qualquer agência integrante da Rede Arrecadadora de Receitas Federais, por meio de Guia de Recolhimento da União - GRU, a ser preenchida de acordo com as instruções fornecidas pela contratante) no máximo de 10(dez</w:t>
      </w:r>
      <w:proofErr w:type="gramStart"/>
      <w:r>
        <w:rPr>
          <w:rFonts w:cs="Arial"/>
        </w:rPr>
        <w:t>)</w:t>
      </w:r>
      <w:proofErr w:type="gramEnd"/>
      <w:r>
        <w:rPr>
          <w:rFonts w:cs="Arial"/>
        </w:rPr>
        <w:t>% do valor total do contrato.</w:t>
      </w:r>
    </w:p>
    <w:p w:rsidR="004F0E02" w:rsidRDefault="00924179">
      <w:pPr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>
        <w:rPr>
          <w:rFonts w:eastAsia="Arial" w:cs="Arial"/>
        </w:rPr>
        <w:t xml:space="preserve">c) </w:t>
      </w:r>
      <w:r>
        <w:rPr>
          <w:rFonts w:cs="Arial"/>
        </w:rPr>
        <w:t>Impedimento de licitar e contratar com a União, com o consequente descredenciamento do SICAF pelo prazo de até cinco anos, sem prejuízo das multas previstas no edital e no contrato e das demais cominações legais, para a licitante que, convocada dentro do prazo de validade de sua proposta, não assinar o contrato, deixar de entregar documentação exigida no edital, apresentar documentação falsa, ensejar o retardamento da execução de seu objeto, não mantiver a proposta, falhar ou fraudar na execução do contrato, comportar-se de modo inidôneo, fizer declaração falsa ou cometer fraude fiscal, garantido o direito à ampla defesa.</w:t>
      </w:r>
    </w:p>
    <w:p w:rsidR="004F0E02" w:rsidRDefault="00924179">
      <w:pPr>
        <w:tabs>
          <w:tab w:val="left" w:pos="0"/>
        </w:tabs>
        <w:spacing w:before="0" w:after="227" w:line="360" w:lineRule="auto"/>
        <w:ind w:hanging="14"/>
        <w:rPr>
          <w:rFonts w:cs="Arial"/>
        </w:rPr>
      </w:pPr>
      <w:r>
        <w:rPr>
          <w:rFonts w:eastAsia="Arial" w:cs="Arial"/>
        </w:rPr>
        <w:lastRenderedPageBreak/>
        <w:t xml:space="preserve">d) </w:t>
      </w:r>
      <w:r>
        <w:rPr>
          <w:rFonts w:cs="Arial"/>
        </w:rPr>
        <w:t xml:space="preserve">No processo de aplicação de sanções, é assegurado o direito ao contraditório e à ampla defesa, facultada a defesa prévia à interessada no prazo de </w:t>
      </w:r>
      <w:proofErr w:type="gramStart"/>
      <w:r>
        <w:rPr>
          <w:rFonts w:cs="Arial"/>
        </w:rPr>
        <w:t>5</w:t>
      </w:r>
      <w:proofErr w:type="gramEnd"/>
      <w:r>
        <w:rPr>
          <w:rFonts w:cs="Arial"/>
        </w:rPr>
        <w:t xml:space="preserve"> (cinco) dias úteis contados da respectiva intimação.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 xml:space="preserve">O contratado que cometer </w:t>
      </w:r>
      <w:proofErr w:type="gramStart"/>
      <w:r>
        <w:rPr>
          <w:rFonts w:cs="Arial"/>
        </w:rPr>
        <w:t>qualquer infrações</w:t>
      </w:r>
      <w:proofErr w:type="gramEnd"/>
      <w:r>
        <w:rPr>
          <w:rFonts w:cs="Arial"/>
        </w:rPr>
        <w:t xml:space="preserve"> ficará sujeito, sem prejuízo da responsabilidade civil e criminal, às sanções calculadas sob os seguintes critérios base de cálculos.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Essa metodologia tem o objetivo de padronizar, por meio de critérios pré-estabelecidos, a dosimetria adotada nos cálculos de sanções decorrentes das condutas irregulares no decorrer da execução contratual.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 xml:space="preserve">Para definição da dosimetria a ser adotada nos processos de sanção aos </w:t>
      </w:r>
      <w:proofErr w:type="gramStart"/>
      <w:r>
        <w:rPr>
          <w:rFonts w:cs="Arial"/>
        </w:rPr>
        <w:t>quais essa</w:t>
      </w:r>
      <w:proofErr w:type="gramEnd"/>
      <w:r>
        <w:rPr>
          <w:rFonts w:cs="Arial"/>
        </w:rPr>
        <w:t xml:space="preserve"> metodologia será aplicada, cada critério definido corresponde a um peso numérico. O somatório dos pesos obtidos deve ser aplicado a matriz de correspondência, resultando no percentual de multa e período de impedimento de licitar e contratar com a Administração a serem aplicados.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Para a realização dos cálculos objeto desta metodologia serão observadas suas categorias de critérios, quais sejam: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Categoria de Critérios Gerais: contempla </w:t>
      </w:r>
      <w:proofErr w:type="gramStart"/>
      <w:r>
        <w:rPr>
          <w:rFonts w:cs="Arial"/>
          <w:shd w:val="clear" w:color="auto" w:fill="FFFFFF"/>
        </w:rPr>
        <w:t>6</w:t>
      </w:r>
      <w:proofErr w:type="gramEnd"/>
      <w:r>
        <w:rPr>
          <w:rFonts w:cs="Arial"/>
          <w:shd w:val="clear" w:color="auto" w:fill="FFFFFF"/>
        </w:rPr>
        <w:t>(seis) critérios distintos, inerentes as características da contratação/aquisição;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Categoria de Critérios Específicos: contempla 10(dez) critérios distintos, relacionados à ação da conduta irregular da licitante durante a sessão pública do Pregão Eletrônico, estendendo-se até a fase de assinatura do instrumento contratual ou equivalente.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lastRenderedPageBreak/>
        <w:t>Critérios Gerais: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Valor estimado da contratação: o valor estimado da contratação foi dividido em </w:t>
      </w:r>
      <w:proofErr w:type="gramStart"/>
      <w:r>
        <w:rPr>
          <w:rFonts w:cs="Arial"/>
          <w:shd w:val="clear" w:color="auto" w:fill="FFFFFF"/>
        </w:rPr>
        <w:t>5</w:t>
      </w:r>
      <w:proofErr w:type="gramEnd"/>
      <w:r>
        <w:rPr>
          <w:rFonts w:cs="Arial"/>
          <w:shd w:val="clear" w:color="auto" w:fill="FFFFFF"/>
        </w:rPr>
        <w:t>(cinco) gradações, cada uma com um peso distinto:</w:t>
      </w:r>
    </w:p>
    <w:p w:rsidR="004F0E02" w:rsidRDefault="004F0E02">
      <w:pPr>
        <w:spacing w:before="120" w:after="120" w:line="360" w:lineRule="auto"/>
        <w:ind w:left="425"/>
        <w:rPr>
          <w:rFonts w:cs="Arial"/>
          <w:shd w:val="clear" w:color="auto" w:fill="FFFFFF"/>
        </w:rPr>
      </w:pPr>
    </w:p>
    <w:p w:rsidR="004F0E02" w:rsidRDefault="00924179">
      <w:pPr>
        <w:pStyle w:val="PargrafodaLista"/>
        <w:numPr>
          <w:ilvl w:val="0"/>
          <w:numId w:val="4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Até R$ 80.000,00: peso </w:t>
      </w:r>
      <w:proofErr w:type="gramStart"/>
      <w:r>
        <w:rPr>
          <w:rFonts w:cs="Arial"/>
          <w:shd w:val="clear" w:color="auto" w:fill="FFFFFF"/>
        </w:rPr>
        <w:t>2</w:t>
      </w:r>
      <w:proofErr w:type="gramEnd"/>
      <w:r>
        <w:rPr>
          <w:rFonts w:cs="Arial"/>
          <w:shd w:val="clear" w:color="auto" w:fill="FFFFFF"/>
        </w:rPr>
        <w:t>(dois);</w:t>
      </w:r>
    </w:p>
    <w:p w:rsidR="004F0E02" w:rsidRDefault="00924179">
      <w:pPr>
        <w:pStyle w:val="PargrafodaLista"/>
        <w:numPr>
          <w:ilvl w:val="0"/>
          <w:numId w:val="4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De R$ 80.000,01 até R$ 500.000,00: peso </w:t>
      </w:r>
      <w:proofErr w:type="gramStart"/>
      <w:r>
        <w:rPr>
          <w:rFonts w:cs="Arial"/>
          <w:shd w:val="clear" w:color="auto" w:fill="FFFFFF"/>
        </w:rPr>
        <w:t>3</w:t>
      </w:r>
      <w:proofErr w:type="gramEnd"/>
      <w:r>
        <w:rPr>
          <w:rFonts w:cs="Arial"/>
          <w:shd w:val="clear" w:color="auto" w:fill="FFFFFF"/>
        </w:rPr>
        <w:t>(três);</w:t>
      </w:r>
    </w:p>
    <w:p w:rsidR="004F0E02" w:rsidRDefault="00924179">
      <w:pPr>
        <w:pStyle w:val="PargrafodaLista"/>
        <w:numPr>
          <w:ilvl w:val="0"/>
          <w:numId w:val="4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De R$ 500.000,01 até R$ 1.000.000,00: peso </w:t>
      </w:r>
      <w:proofErr w:type="gramStart"/>
      <w:r>
        <w:rPr>
          <w:rFonts w:cs="Arial"/>
          <w:shd w:val="clear" w:color="auto" w:fill="FFFFFF"/>
        </w:rPr>
        <w:t>5</w:t>
      </w:r>
      <w:proofErr w:type="gramEnd"/>
      <w:r>
        <w:rPr>
          <w:rFonts w:cs="Arial"/>
          <w:shd w:val="clear" w:color="auto" w:fill="FFFFFF"/>
        </w:rPr>
        <w:t>(cinco);</w:t>
      </w:r>
    </w:p>
    <w:p w:rsidR="004F0E02" w:rsidRDefault="00924179">
      <w:pPr>
        <w:pStyle w:val="PargrafodaLista"/>
        <w:numPr>
          <w:ilvl w:val="0"/>
          <w:numId w:val="4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De R$ 1.000.000,01 até 10.000.000,00: peso </w:t>
      </w:r>
      <w:proofErr w:type="gramStart"/>
      <w:r>
        <w:rPr>
          <w:rFonts w:cs="Arial"/>
          <w:shd w:val="clear" w:color="auto" w:fill="FFFFFF"/>
        </w:rPr>
        <w:t>7</w:t>
      </w:r>
      <w:proofErr w:type="gramEnd"/>
      <w:r>
        <w:rPr>
          <w:rFonts w:cs="Arial"/>
          <w:shd w:val="clear" w:color="auto" w:fill="FFFFFF"/>
        </w:rPr>
        <w:t>(sete);</w:t>
      </w:r>
    </w:p>
    <w:p w:rsidR="004F0E02" w:rsidRDefault="00924179">
      <w:pPr>
        <w:pStyle w:val="PargrafodaLista"/>
        <w:numPr>
          <w:ilvl w:val="0"/>
          <w:numId w:val="4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Acima de R$ 10.000.000,01: peso </w:t>
      </w:r>
      <w:proofErr w:type="gramStart"/>
      <w:r>
        <w:rPr>
          <w:rFonts w:cs="Arial"/>
          <w:shd w:val="clear" w:color="auto" w:fill="FFFFFF"/>
        </w:rPr>
        <w:t>9</w:t>
      </w:r>
      <w:proofErr w:type="gramEnd"/>
      <w:r>
        <w:rPr>
          <w:rFonts w:cs="Arial"/>
          <w:shd w:val="clear" w:color="auto" w:fill="FFFFFF"/>
        </w:rPr>
        <w:t>(nove).</w:t>
      </w:r>
    </w:p>
    <w:p w:rsidR="004F0E02" w:rsidRDefault="004F0E02">
      <w:pPr>
        <w:spacing w:before="120" w:after="120" w:line="360" w:lineRule="auto"/>
        <w:ind w:left="425"/>
        <w:rPr>
          <w:rFonts w:cs="Arial"/>
          <w:shd w:val="clear" w:color="auto" w:fill="FFFFFF"/>
        </w:rPr>
      </w:pP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Porte da Empresa licitante ME/EPP: empresas enquadradas como ME/EPP, na ocasião do certame, recebem atenuante de peso “-5</w:t>
      </w:r>
      <w:proofErr w:type="gramStart"/>
      <w:r>
        <w:rPr>
          <w:rFonts w:cs="Arial"/>
          <w:shd w:val="clear" w:color="auto" w:fill="FFFFFF"/>
        </w:rPr>
        <w:t xml:space="preserve">”( </w:t>
      </w:r>
      <w:proofErr w:type="gramEnd"/>
      <w:r>
        <w:rPr>
          <w:rFonts w:cs="Arial"/>
          <w:shd w:val="clear" w:color="auto" w:fill="FFFFFF"/>
        </w:rPr>
        <w:t>cinco negativo);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Mão de Obra dedicada: as contratações que envolvem mão de obra dedicada recebem o peso </w:t>
      </w:r>
      <w:proofErr w:type="gramStart"/>
      <w:r>
        <w:rPr>
          <w:rFonts w:cs="Arial"/>
          <w:shd w:val="clear" w:color="auto" w:fill="FFFFFF"/>
        </w:rPr>
        <w:t>7</w:t>
      </w:r>
      <w:proofErr w:type="gramEnd"/>
      <w:r>
        <w:rPr>
          <w:rFonts w:cs="Arial"/>
          <w:shd w:val="clear" w:color="auto" w:fill="FFFFFF"/>
        </w:rPr>
        <w:t>(sete);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Previsão de vigência contratual em meses: consideram-se para definição do peso em relação ao período da vigência contratual, que:</w:t>
      </w:r>
    </w:p>
    <w:p w:rsidR="004F0E02" w:rsidRDefault="004F0E02">
      <w:pPr>
        <w:spacing w:before="120" w:after="120" w:line="360" w:lineRule="auto"/>
        <w:ind w:left="425"/>
        <w:rPr>
          <w:rFonts w:cs="Arial"/>
          <w:shd w:val="clear" w:color="auto" w:fill="FFFFFF"/>
        </w:rPr>
      </w:pPr>
    </w:p>
    <w:p w:rsidR="004F0E02" w:rsidRDefault="00924179">
      <w:pPr>
        <w:pStyle w:val="PargrafodaLista"/>
        <w:numPr>
          <w:ilvl w:val="0"/>
          <w:numId w:val="5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Cada mês de vigência corresponde ao peso de 0,12(doze centésimas);</w:t>
      </w:r>
    </w:p>
    <w:p w:rsidR="004F0E02" w:rsidRDefault="00924179">
      <w:pPr>
        <w:pStyle w:val="PargrafodaLista"/>
        <w:numPr>
          <w:ilvl w:val="0"/>
          <w:numId w:val="5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lastRenderedPageBreak/>
        <w:t xml:space="preserve">Contratações de pronta entrega: peso 0,12(doze centésimas) correspondente ao valor de </w:t>
      </w:r>
      <w:proofErr w:type="gramStart"/>
      <w:r>
        <w:rPr>
          <w:rFonts w:cs="Arial"/>
          <w:shd w:val="clear" w:color="auto" w:fill="FFFFFF"/>
        </w:rPr>
        <w:t>1</w:t>
      </w:r>
      <w:proofErr w:type="gramEnd"/>
      <w:r>
        <w:rPr>
          <w:rFonts w:cs="Arial"/>
          <w:shd w:val="clear" w:color="auto" w:fill="FFFFFF"/>
        </w:rPr>
        <w:t>(um) mês de vigência;</w:t>
      </w:r>
    </w:p>
    <w:p w:rsidR="004F0E02" w:rsidRDefault="00924179">
      <w:pPr>
        <w:pStyle w:val="PargrafodaLista"/>
        <w:numPr>
          <w:ilvl w:val="0"/>
          <w:numId w:val="5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Demais contratações multiplica-se o número de meses previstos para a vigência contratual pelo peso 0,12(doze centésimas).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Fator de reincidência: o peso é de </w:t>
      </w:r>
      <w:proofErr w:type="gramStart"/>
      <w:r>
        <w:rPr>
          <w:rFonts w:cs="Arial"/>
          <w:shd w:val="clear" w:color="auto" w:fill="FFFFFF"/>
        </w:rPr>
        <w:t>5</w:t>
      </w:r>
      <w:proofErr w:type="gramEnd"/>
      <w:r>
        <w:rPr>
          <w:rFonts w:cs="Arial"/>
          <w:shd w:val="clear" w:color="auto" w:fill="FFFFFF"/>
        </w:rPr>
        <w:t xml:space="preserve">(cinco) multiplicado pela quantidade de processos em que a licitante foi apenada perante a União. Para contabilização deste item, </w:t>
      </w:r>
      <w:proofErr w:type="gramStart"/>
      <w:r>
        <w:rPr>
          <w:rFonts w:cs="Arial"/>
          <w:shd w:val="clear" w:color="auto" w:fill="FFFFFF"/>
        </w:rPr>
        <w:t>deve-se</w:t>
      </w:r>
      <w:proofErr w:type="gramEnd"/>
      <w:r>
        <w:rPr>
          <w:rFonts w:cs="Arial"/>
          <w:shd w:val="clear" w:color="auto" w:fill="FFFFFF"/>
        </w:rPr>
        <w:t xml:space="preserve"> considerar os registros no SICAF, exclusivamente aqueles em que a empresa incorreu em conduta irregular durante os certames, desconsiderando as ocorrências decorrentes de outras fases da contratação.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Fator relevante: demais ocorrências que possam ser consideradas pelo pregoeiro, tanto para agravar quanto para atenuar o cálculo de dosimetria, devem ser descritas como fator relevante, bem como suas justificativas inseridas nos autos. O peso a ser definido para esse item compreende a escala de </w:t>
      </w:r>
      <w:proofErr w:type="gramStart"/>
      <w:r>
        <w:rPr>
          <w:rFonts w:cs="Arial"/>
          <w:shd w:val="clear" w:color="auto" w:fill="FFFFFF"/>
        </w:rPr>
        <w:t xml:space="preserve">“ </w:t>
      </w:r>
      <w:proofErr w:type="gramEnd"/>
      <w:r>
        <w:rPr>
          <w:rFonts w:cs="Arial"/>
          <w:shd w:val="clear" w:color="auto" w:fill="FFFFFF"/>
        </w:rPr>
        <w:t>-10 A 10”.</w:t>
      </w:r>
    </w:p>
    <w:p w:rsidR="004F0E02" w:rsidRDefault="004F0E02">
      <w:pPr>
        <w:spacing w:before="120" w:after="120" w:line="360" w:lineRule="auto"/>
        <w:ind w:left="425"/>
        <w:rPr>
          <w:rFonts w:cs="Arial"/>
          <w:shd w:val="clear" w:color="auto" w:fill="FFFFFF"/>
        </w:rPr>
      </w:pP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Critérios Específicos: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 xml:space="preserve">Para </w:t>
      </w:r>
      <w:proofErr w:type="gramStart"/>
      <w:r>
        <w:rPr>
          <w:rFonts w:cs="Arial"/>
          <w:shd w:val="clear" w:color="auto" w:fill="FFFFFF"/>
        </w:rPr>
        <w:t>definição dos pesos relacionado</w:t>
      </w:r>
      <w:proofErr w:type="gramEnd"/>
      <w:r>
        <w:rPr>
          <w:rFonts w:cs="Arial"/>
          <w:shd w:val="clear" w:color="auto" w:fill="FFFFFF"/>
        </w:rPr>
        <w:t xml:space="preserve"> aos critérios específicos deve ser utilizada a “Tabela de Critérios Específicos” abaixo, sendo possível a ocorrência de enquadramento em mais de um critério específico para o mesmo certame.</w:t>
      </w:r>
    </w:p>
    <w:tbl>
      <w:tblPr>
        <w:tblW w:w="0" w:type="auto"/>
        <w:tblInd w:w="28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30" w:type="dxa"/>
          <w:left w:w="29" w:type="dxa"/>
          <w:bottom w:w="30" w:type="dxa"/>
          <w:right w:w="45" w:type="dxa"/>
        </w:tblCellMar>
        <w:tblLook w:val="04A0" w:firstRow="1" w:lastRow="0" w:firstColumn="1" w:lastColumn="0" w:noHBand="0" w:noVBand="1"/>
      </w:tblPr>
      <w:tblGrid>
        <w:gridCol w:w="5941"/>
        <w:gridCol w:w="2536"/>
        <w:gridCol w:w="640"/>
      </w:tblGrid>
      <w:tr w:rsidR="004F0E02">
        <w:trPr>
          <w:trHeight w:val="315"/>
        </w:trPr>
        <w:tc>
          <w:tcPr>
            <w:tcW w:w="5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lastRenderedPageBreak/>
              <w:t xml:space="preserve">Critérios Específicos </w:t>
            </w:r>
          </w:p>
        </w:tc>
        <w:tc>
          <w:tcPr>
            <w:tcW w:w="2546" w:type="dxa"/>
            <w:tcBorders>
              <w:top w:val="single" w:sz="6" w:space="0" w:color="000001"/>
              <w:left w:val="single" w:sz="6" w:space="0" w:color="CCCCCC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Conduta Irregular </w:t>
            </w:r>
          </w:p>
        </w:tc>
        <w:tc>
          <w:tcPr>
            <w:tcW w:w="640" w:type="dxa"/>
            <w:tcBorders>
              <w:top w:val="single" w:sz="6" w:space="0" w:color="000001"/>
              <w:left w:val="single" w:sz="6" w:space="0" w:color="CCCCCC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Peso</w:t>
            </w:r>
          </w:p>
        </w:tc>
      </w:tr>
      <w:tr w:rsidR="004F0E02">
        <w:trPr>
          <w:trHeight w:val="315"/>
        </w:trPr>
        <w:tc>
          <w:tcPr>
            <w:tcW w:w="5975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center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Não entregar</w:t>
            </w:r>
            <w:proofErr w:type="gramStart"/>
            <w:r>
              <w:rPr>
                <w:rFonts w:cs="Arial"/>
              </w:rPr>
              <w:t xml:space="preserve">  </w:t>
            </w:r>
            <w:proofErr w:type="gramEnd"/>
            <w:r>
              <w:rPr>
                <w:rFonts w:cs="Arial"/>
              </w:rPr>
              <w:t>no prazo previsto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Atraso injustificado na execução do contrato</w:t>
            </w:r>
          </w:p>
        </w:tc>
        <w:tc>
          <w:tcPr>
            <w:tcW w:w="64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"40"</w:t>
            </w:r>
          </w:p>
        </w:tc>
      </w:tr>
      <w:tr w:rsidR="004F0E02">
        <w:trPr>
          <w:trHeight w:val="315"/>
        </w:trPr>
        <w:tc>
          <w:tcPr>
            <w:tcW w:w="5975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center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Deixar de apresentar a nota fiscal juntamente aos documentos exigidos no edital e termo de referência no prazo estipulado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w="64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"30"</w:t>
            </w:r>
          </w:p>
        </w:tc>
      </w:tr>
      <w:tr w:rsidR="004F0E02">
        <w:trPr>
          <w:trHeight w:val="315"/>
        </w:trPr>
        <w:tc>
          <w:tcPr>
            <w:tcW w:w="5975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center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Não realizar a substituição/troca de materiais e/ou equipamentos nos prazos estipulados.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w="64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"20"</w:t>
            </w:r>
          </w:p>
        </w:tc>
      </w:tr>
      <w:tr w:rsidR="004F0E02">
        <w:trPr>
          <w:trHeight w:val="315"/>
        </w:trPr>
        <w:tc>
          <w:tcPr>
            <w:tcW w:w="5975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center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Reincidência de qualquer das ocorrências anteriores no prazo de </w:t>
            </w:r>
            <w:proofErr w:type="gramStart"/>
            <w:r>
              <w:rPr>
                <w:rFonts w:cs="Arial"/>
              </w:rPr>
              <w:t>3</w:t>
            </w:r>
            <w:proofErr w:type="gramEnd"/>
            <w:r>
              <w:rPr>
                <w:rFonts w:cs="Arial"/>
              </w:rPr>
              <w:t>(três) meses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w="640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"40"</w:t>
            </w:r>
          </w:p>
        </w:tc>
      </w:tr>
      <w:tr w:rsidR="004F0E02">
        <w:trPr>
          <w:trHeight w:val="315"/>
        </w:trPr>
        <w:tc>
          <w:tcPr>
            <w:tcW w:w="5975" w:type="dxa"/>
            <w:tcBorders>
              <w:top w:val="single" w:sz="6" w:space="0" w:color="CCCCCC"/>
              <w:left w:val="single" w:sz="6" w:space="0" w:color="000001"/>
              <w:bottom w:val="single" w:sz="6" w:space="0" w:color="000001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center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Não manter a habilitação prevista no edital</w:t>
            </w:r>
          </w:p>
        </w:tc>
        <w:tc>
          <w:tcPr>
            <w:tcW w:w="2546" w:type="dxa"/>
            <w:tcBorders>
              <w:top w:val="single" w:sz="6" w:space="0" w:color="CCCCCC"/>
              <w:left w:val="single" w:sz="6" w:space="0" w:color="CCCCCC"/>
              <w:bottom w:val="single" w:sz="6" w:space="0" w:color="000001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Inexecução total ou parcial do contrato</w:t>
            </w:r>
          </w:p>
        </w:tc>
        <w:tc>
          <w:tcPr>
            <w:tcW w:w="640" w:type="dxa"/>
            <w:tcBorders>
              <w:top w:val="single" w:sz="6" w:space="0" w:color="CCCCCC"/>
              <w:left w:val="single" w:sz="6" w:space="0" w:color="CCCCCC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"19"</w:t>
            </w:r>
          </w:p>
        </w:tc>
      </w:tr>
    </w:tbl>
    <w:p w:rsidR="004F0E02" w:rsidRDefault="004F0E02">
      <w:pPr>
        <w:spacing w:before="120" w:after="120" w:line="360" w:lineRule="auto"/>
        <w:ind w:left="425"/>
        <w:rPr>
          <w:rFonts w:cs="Arial"/>
        </w:rPr>
      </w:pP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Procedimentos para realização dos cálculos: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lastRenderedPageBreak/>
        <w:t>O responsável pela elaboração dos cálculos de dosimetria de sanção deverá, com base na documentação do certame, calcular os pesos relacionados a cada um dos critérios gerais e específicos relacionados nesta metodologia.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Após a definição dos pesos para cada critério, deverá ser realizado o somatório de todos os pesos e aplicados a “Tabela de Correspondência- Peso x Sanções”, obtendo-se o percentual de multa e o prazo para impedimento de licitar e contratar com a Administração.</w:t>
      </w:r>
    </w:p>
    <w:tbl>
      <w:tblPr>
        <w:tblW w:w="0" w:type="auto"/>
        <w:tblInd w:w="28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30" w:type="dxa"/>
          <w:left w:w="29" w:type="dxa"/>
          <w:bottom w:w="30" w:type="dxa"/>
          <w:right w:w="45" w:type="dxa"/>
        </w:tblCellMar>
        <w:tblLook w:val="04A0" w:firstRow="1" w:lastRow="0" w:firstColumn="1" w:lastColumn="0" w:noHBand="0" w:noVBand="1"/>
      </w:tblPr>
      <w:tblGrid>
        <w:gridCol w:w="1814"/>
        <w:gridCol w:w="3153"/>
        <w:gridCol w:w="2328"/>
      </w:tblGrid>
      <w:tr w:rsidR="004F0E02">
        <w:trPr>
          <w:trHeight w:val="315"/>
        </w:trPr>
        <w:tc>
          <w:tcPr>
            <w:tcW w:w="181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Graduação (peso)</w:t>
            </w:r>
          </w:p>
        </w:tc>
        <w:tc>
          <w:tcPr>
            <w:tcW w:w="3153" w:type="dxa"/>
            <w:tcBorders>
              <w:top w:val="single" w:sz="6" w:space="0" w:color="000001"/>
              <w:left w:val="single" w:sz="6" w:space="0" w:color="CCCCCC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Multa (%)</w:t>
            </w:r>
          </w:p>
        </w:tc>
        <w:tc>
          <w:tcPr>
            <w:tcW w:w="2328" w:type="dxa"/>
            <w:tcBorders>
              <w:top w:val="single" w:sz="6" w:space="0" w:color="000001"/>
              <w:left w:val="single" w:sz="6" w:space="0" w:color="CCCCCC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Impedimentos (meses)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-10 a 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0,5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6 a 11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1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11 a 16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1,5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16 a 21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2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lastRenderedPageBreak/>
              <w:t>21 a 26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2,5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 a 31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6/10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3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31 a 36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3,5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36 a 41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8/10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4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41 a 46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9/10 do valor máximo da multa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4,5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46 a 51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5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51 a 56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6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56 a 61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7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61 a 66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proofErr w:type="gramStart"/>
            <w:r>
              <w:rPr>
                <w:rFonts w:cs="Arial"/>
              </w:rPr>
              <w:t>8</w:t>
            </w:r>
            <w:proofErr w:type="gramEnd"/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lastRenderedPageBreak/>
              <w:t>66 a 71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71 a 76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16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76 a 81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81 a 86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30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86 a 91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40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91 a 96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</w:tr>
      <w:tr w:rsidR="004F0E02">
        <w:trPr>
          <w:trHeight w:val="315"/>
        </w:trPr>
        <w:tc>
          <w:tcPr>
            <w:tcW w:w="1814" w:type="dxa"/>
            <w:tcBorders>
              <w:top w:val="single" w:sz="6" w:space="0" w:color="CCCCCC"/>
              <w:left w:val="single" w:sz="6" w:space="0" w:color="000001"/>
              <w:bottom w:val="single" w:sz="6" w:space="0" w:color="000001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proofErr w:type="gramStart"/>
            <w:r>
              <w:rPr>
                <w:rFonts w:cs="Arial"/>
              </w:rPr>
              <w:t>acima</w:t>
            </w:r>
            <w:proofErr w:type="gramEnd"/>
            <w:r>
              <w:rPr>
                <w:rFonts w:cs="Arial"/>
              </w:rPr>
              <w:t xml:space="preserve"> de 96</w:t>
            </w:r>
          </w:p>
        </w:tc>
        <w:tc>
          <w:tcPr>
            <w:tcW w:w="3153" w:type="dxa"/>
            <w:tcBorders>
              <w:top w:val="single" w:sz="6" w:space="0" w:color="CCCCCC"/>
              <w:left w:val="single" w:sz="6" w:space="0" w:color="CCCCCC"/>
              <w:bottom w:val="single" w:sz="6" w:space="0" w:color="000001"/>
              <w:right w:val="single" w:sz="6" w:space="0" w:color="CCCCCC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% máximo da multa </w:t>
            </w:r>
          </w:p>
        </w:tc>
        <w:tc>
          <w:tcPr>
            <w:tcW w:w="2328" w:type="dxa"/>
            <w:tcBorders>
              <w:top w:val="single" w:sz="6" w:space="0" w:color="CCCCCC"/>
              <w:left w:val="single" w:sz="6" w:space="0" w:color="CCCCCC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left w:w="29" w:type="dxa"/>
            </w:tcMar>
            <w:vAlign w:val="bottom"/>
          </w:tcPr>
          <w:p w:rsidR="004F0E02" w:rsidRDefault="00924179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60</w:t>
            </w:r>
          </w:p>
        </w:tc>
      </w:tr>
    </w:tbl>
    <w:p w:rsidR="004F0E02" w:rsidRDefault="004F0E02">
      <w:pPr>
        <w:tabs>
          <w:tab w:val="left" w:pos="0"/>
        </w:tabs>
        <w:spacing w:before="0" w:after="227" w:line="360" w:lineRule="auto"/>
        <w:ind w:hanging="14"/>
        <w:rPr>
          <w:rFonts w:cs="Arial"/>
        </w:rPr>
      </w:pP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Para fins de conversão de meses em dias, quando necessário, será considerado:</w:t>
      </w:r>
    </w:p>
    <w:p w:rsidR="004F0E02" w:rsidRDefault="00924179">
      <w:pPr>
        <w:pStyle w:val="PargrafodaLista"/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proofErr w:type="gramStart"/>
      <w:r>
        <w:rPr>
          <w:rFonts w:cs="Arial"/>
          <w:shd w:val="clear" w:color="auto" w:fill="FFFFFF"/>
        </w:rPr>
        <w:t>1</w:t>
      </w:r>
      <w:proofErr w:type="gramEnd"/>
      <w:r>
        <w:rPr>
          <w:rFonts w:cs="Arial"/>
          <w:shd w:val="clear" w:color="auto" w:fill="FFFFFF"/>
        </w:rPr>
        <w:t>(um) mês = 30(trinta) dias;</w:t>
      </w:r>
    </w:p>
    <w:p w:rsidR="004F0E02" w:rsidRDefault="00924179">
      <w:pPr>
        <w:pStyle w:val="PargrafodaLista"/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0,5(zero vírgula cinco) mês = 15(quinze) dias;</w:t>
      </w:r>
    </w:p>
    <w:p w:rsidR="004F0E02" w:rsidRDefault="00924179">
      <w:pPr>
        <w:pStyle w:val="PargrafodaLista"/>
        <w:numPr>
          <w:ilvl w:val="2"/>
          <w:numId w:val="3"/>
        </w:numPr>
        <w:spacing w:before="120" w:after="120" w:line="360" w:lineRule="auto"/>
        <w:contextualSpacing w:val="0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Considera-se valor máximo da multa o valor total do item contratado.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lastRenderedPageBreak/>
        <w:t xml:space="preserve">O valor de multa deverá ter no máximo </w:t>
      </w:r>
      <w:proofErr w:type="gramStart"/>
      <w:r>
        <w:rPr>
          <w:rFonts w:cs="Arial"/>
        </w:rPr>
        <w:t>2</w:t>
      </w:r>
      <w:proofErr w:type="gramEnd"/>
      <w:r>
        <w:rPr>
          <w:rFonts w:cs="Arial"/>
        </w:rPr>
        <w:t>(duas) casas decimais, realizando-se o arredondamento quando necessário.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 xml:space="preserve">As sanções serão obrigatoriamente registradas no SICAF, e no caso de impedimento de licitar e contratar com a União, a licitante será </w:t>
      </w:r>
      <w:proofErr w:type="spellStart"/>
      <w:r>
        <w:rPr>
          <w:rFonts w:cs="Arial"/>
        </w:rPr>
        <w:t>descadastrada</w:t>
      </w:r>
      <w:proofErr w:type="spellEnd"/>
      <w:r>
        <w:rPr>
          <w:rFonts w:cs="Arial"/>
        </w:rPr>
        <w:t xml:space="preserve"> por igual período, sem prejuízo das multas previstas neste edital e das demais cominações legais.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 xml:space="preserve">O valor das multas aplicadas deverá ser recolhido no prazo de </w:t>
      </w:r>
      <w:proofErr w:type="gramStart"/>
      <w:r>
        <w:rPr>
          <w:rFonts w:cs="Arial"/>
        </w:rPr>
        <w:t>5</w:t>
      </w:r>
      <w:proofErr w:type="gramEnd"/>
      <w:r>
        <w:rPr>
          <w:rFonts w:cs="Arial"/>
        </w:rPr>
        <w:t xml:space="preserve"> (cinco) dias, a contar da data da notificação. Se o valor da multa não for pago, ou depositado, será automaticamente descontado da garantia ou do pagamento a que a contratada fizer jus. Em caso de inexistência ou insuficiência de crédito da contratada, o valor devido será cobrado administrativamente e/ou judicialmente.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As sanções previstas poderão ser aplicadas concomitantemente.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 xml:space="preserve">Também </w:t>
      </w:r>
      <w:proofErr w:type="gramStart"/>
      <w:r>
        <w:rPr>
          <w:rFonts w:cs="Arial"/>
        </w:rPr>
        <w:t>ficam</w:t>
      </w:r>
      <w:proofErr w:type="gramEnd"/>
      <w:r>
        <w:rPr>
          <w:rFonts w:cs="Arial"/>
        </w:rPr>
        <w:t xml:space="preserve"> sujeitas às penalidades do art. 87, III e IV da Lei nº 8.666, de 1993, as empresas e os profissionais que:</w:t>
      </w:r>
    </w:p>
    <w:p w:rsidR="004F0E02" w:rsidRDefault="00924179">
      <w:pPr>
        <w:numPr>
          <w:ilvl w:val="2"/>
          <w:numId w:val="3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Tenham sofrido condenação definitiva por praticar, por meio dolosos, fraude fiscal no recolhimento de quaisquer tributos;</w:t>
      </w:r>
    </w:p>
    <w:p w:rsidR="004F0E02" w:rsidRDefault="00924179">
      <w:pPr>
        <w:numPr>
          <w:ilvl w:val="2"/>
          <w:numId w:val="3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Tenham praticado atos ilícitos visando a frustrar os objetivos da licitação;</w:t>
      </w:r>
    </w:p>
    <w:p w:rsidR="004F0E02" w:rsidRDefault="00924179">
      <w:pPr>
        <w:numPr>
          <w:ilvl w:val="2"/>
          <w:numId w:val="3"/>
        </w:numPr>
        <w:spacing w:before="120" w:after="120" w:line="360" w:lineRule="auto"/>
        <w:rPr>
          <w:rFonts w:cs="Arial"/>
        </w:rPr>
      </w:pPr>
      <w:r>
        <w:rPr>
          <w:rFonts w:cs="Arial"/>
        </w:rPr>
        <w:t>Demonstrem não possuir idoneidade para contratar com a Administração em virtude de atos ilícitos praticados.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 xml:space="preserve">A aplicação de qualquer das penalidades previstas realizar-se-á em processo administrativo que assegurará o contraditório e a ampla defesa à Contratada, </w:t>
      </w:r>
      <w:r>
        <w:rPr>
          <w:rFonts w:cs="Arial"/>
        </w:rPr>
        <w:lastRenderedPageBreak/>
        <w:t>observando-se o procedimento previsto na Lei nº 8.666, de 1993, e subsidiariamente a Lei nº 9.784, de 1999.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:rsidR="004F0E02" w:rsidRDefault="00924179">
      <w:pPr>
        <w:pStyle w:val="PargrafodaLista"/>
        <w:numPr>
          <w:ilvl w:val="1"/>
          <w:numId w:val="3"/>
        </w:numPr>
        <w:spacing w:before="120" w:after="120" w:line="360" w:lineRule="auto"/>
        <w:contextualSpacing w:val="0"/>
        <w:rPr>
          <w:rFonts w:cs="Arial"/>
        </w:rPr>
      </w:pPr>
      <w:r>
        <w:rPr>
          <w:rFonts w:cs="Arial"/>
        </w:rPr>
        <w:t>As penalidades serão obrigatoriamente registradas no SICAF.</w:t>
      </w:r>
    </w:p>
    <w:p w:rsidR="004F0E02" w:rsidRDefault="004F0E02">
      <w:pPr>
        <w:pStyle w:val="PargrafodaLista"/>
        <w:spacing w:before="120" w:after="120" w:line="360" w:lineRule="auto"/>
        <w:ind w:left="420"/>
        <w:contextualSpacing w:val="0"/>
        <w:rPr>
          <w:rFonts w:cs="Arial"/>
        </w:rPr>
      </w:pPr>
    </w:p>
    <w:p w:rsidR="004F0E02" w:rsidRDefault="00924179">
      <w:pPr>
        <w:spacing w:before="0" w:after="360" w:line="360" w:lineRule="auto"/>
        <w:ind w:left="420"/>
        <w:jc w:val="center"/>
        <w:rPr>
          <w:rFonts w:cs="Arial"/>
          <w:b/>
          <w:bCs/>
          <w:color w:val="000000"/>
        </w:rPr>
      </w:pPr>
      <w:r>
        <w:rPr>
          <w:rFonts w:cs="Arial"/>
          <w:b/>
          <w:bCs/>
          <w:color w:val="000000"/>
        </w:rPr>
        <w:t xml:space="preserve">Júlio de Castilhos, 17 </w:t>
      </w:r>
      <w:r>
        <w:rPr>
          <w:rFonts w:cs="Arial"/>
          <w:bCs/>
          <w:color w:val="000000"/>
        </w:rPr>
        <w:t>de</w:t>
      </w:r>
      <w:r>
        <w:rPr>
          <w:rFonts w:cs="Arial"/>
          <w:b/>
          <w:bCs/>
          <w:color w:val="000000"/>
        </w:rPr>
        <w:t xml:space="preserve"> </w:t>
      </w:r>
      <w:r w:rsidR="007D5464">
        <w:rPr>
          <w:rFonts w:cs="Arial"/>
          <w:b/>
          <w:bCs/>
          <w:color w:val="000000"/>
        </w:rPr>
        <w:t>dezembro</w:t>
      </w:r>
      <w:r>
        <w:rPr>
          <w:rFonts w:cs="Arial"/>
          <w:b/>
          <w:bCs/>
          <w:color w:val="000000"/>
        </w:rPr>
        <w:t xml:space="preserve"> </w:t>
      </w:r>
      <w:r>
        <w:rPr>
          <w:rFonts w:cs="Arial"/>
          <w:bCs/>
          <w:color w:val="000000"/>
        </w:rPr>
        <w:t>de</w:t>
      </w:r>
      <w:r>
        <w:rPr>
          <w:rFonts w:cs="Arial"/>
          <w:b/>
          <w:bCs/>
          <w:color w:val="000000"/>
        </w:rPr>
        <w:t xml:space="preserve"> 2018.</w:t>
      </w:r>
    </w:p>
    <w:p w:rsidR="004F0E02" w:rsidRDefault="00924179">
      <w:pPr>
        <w:spacing w:before="0" w:after="360" w:line="360" w:lineRule="auto"/>
        <w:ind w:left="420"/>
        <w:jc w:val="center"/>
        <w:rPr>
          <w:rFonts w:cs="Arial"/>
        </w:rPr>
      </w:pPr>
      <w:r>
        <w:rPr>
          <w:rFonts w:cs="Arial"/>
        </w:rPr>
        <w:t>_________________________________</w:t>
      </w:r>
    </w:p>
    <w:p w:rsidR="004F0E02" w:rsidRDefault="00924179">
      <w:pPr>
        <w:spacing w:line="360" w:lineRule="auto"/>
        <w:ind w:left="420"/>
        <w:jc w:val="center"/>
        <w:rPr>
          <w:rFonts w:cs="Arial"/>
        </w:rPr>
      </w:pPr>
      <w:r>
        <w:rPr>
          <w:rFonts w:cs="Arial"/>
        </w:rPr>
        <w:t xml:space="preserve">Daniel de Melo </w:t>
      </w:r>
      <w:proofErr w:type="spellStart"/>
      <w:r>
        <w:rPr>
          <w:rFonts w:cs="Arial"/>
        </w:rPr>
        <w:t>Jacobsen</w:t>
      </w:r>
      <w:proofErr w:type="spellEnd"/>
      <w:r>
        <w:rPr>
          <w:rFonts w:cs="Arial"/>
        </w:rPr>
        <w:t xml:space="preserve"> - SIAPE 1.799.649</w:t>
      </w:r>
    </w:p>
    <w:p w:rsidR="004F0E02" w:rsidRDefault="00924179">
      <w:pPr>
        <w:spacing w:line="360" w:lineRule="auto"/>
        <w:ind w:left="420"/>
        <w:jc w:val="center"/>
        <w:rPr>
          <w:rFonts w:cs="Arial"/>
        </w:rPr>
      </w:pPr>
      <w:r>
        <w:rPr>
          <w:rFonts w:cs="Arial"/>
        </w:rPr>
        <w:t>Coordenação de Licitação e Contratos</w:t>
      </w:r>
    </w:p>
    <w:p w:rsidR="004F0E02" w:rsidRDefault="004F0E02">
      <w:pPr>
        <w:spacing w:before="0" w:after="360" w:line="360" w:lineRule="auto"/>
        <w:ind w:left="420"/>
        <w:rPr>
          <w:rFonts w:cs="Arial"/>
        </w:rPr>
      </w:pPr>
    </w:p>
    <w:p w:rsidR="004F0E02" w:rsidRDefault="00924179">
      <w:pPr>
        <w:spacing w:before="0" w:after="360" w:line="360" w:lineRule="auto"/>
        <w:ind w:left="420"/>
        <w:rPr>
          <w:rFonts w:cs="Arial"/>
        </w:rPr>
      </w:pPr>
      <w:r>
        <w:rPr>
          <w:rFonts w:cs="Arial"/>
        </w:rPr>
        <w:t xml:space="preserve">Aprovo o presente Termo, nas condições </w:t>
      </w:r>
      <w:proofErr w:type="gramStart"/>
      <w:r>
        <w:rPr>
          <w:rFonts w:cs="Arial"/>
        </w:rPr>
        <w:t>apresentadas</w:t>
      </w:r>
      <w:proofErr w:type="gramEnd"/>
    </w:p>
    <w:p w:rsidR="004F0E02" w:rsidRDefault="00924179">
      <w:pPr>
        <w:spacing w:before="0" w:after="360" w:line="360" w:lineRule="auto"/>
        <w:ind w:left="420"/>
        <w:jc w:val="center"/>
        <w:rPr>
          <w:rFonts w:cs="Arial"/>
        </w:rPr>
      </w:pPr>
      <w:r>
        <w:rPr>
          <w:rFonts w:cs="Arial"/>
        </w:rPr>
        <w:t>_________________________________</w:t>
      </w:r>
    </w:p>
    <w:p w:rsidR="004F0E02" w:rsidRDefault="00924179">
      <w:pPr>
        <w:spacing w:line="360" w:lineRule="auto"/>
        <w:ind w:left="420"/>
        <w:jc w:val="center"/>
        <w:rPr>
          <w:rFonts w:cs="Arial"/>
        </w:rPr>
      </w:pPr>
      <w:r>
        <w:rPr>
          <w:rFonts w:cs="Arial"/>
        </w:rPr>
        <w:t xml:space="preserve">Rodrigo Carvalho </w:t>
      </w:r>
      <w:proofErr w:type="spellStart"/>
      <w:r>
        <w:rPr>
          <w:rFonts w:cs="Arial"/>
        </w:rPr>
        <w:t>Carlotto</w:t>
      </w:r>
      <w:proofErr w:type="spellEnd"/>
      <w:r>
        <w:rPr>
          <w:rFonts w:cs="Arial"/>
        </w:rPr>
        <w:t>- SIAPE 1.610.622</w:t>
      </w:r>
    </w:p>
    <w:p w:rsidR="004F0E02" w:rsidRDefault="00924179" w:rsidP="00F40819">
      <w:pPr>
        <w:spacing w:line="360" w:lineRule="auto"/>
        <w:ind w:left="420"/>
        <w:jc w:val="center"/>
      </w:pPr>
      <w:r>
        <w:rPr>
          <w:rFonts w:cs="Arial"/>
        </w:rPr>
        <w:t>Diretor Geral</w:t>
      </w:r>
      <w:bookmarkStart w:id="1" w:name="_GoBack"/>
      <w:bookmarkEnd w:id="1"/>
    </w:p>
    <w:p w:rsidR="004F0E02" w:rsidRDefault="004F0E02"/>
    <w:sectPr w:rsidR="004F0E02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691" w:rsidRDefault="00924179">
      <w:pPr>
        <w:spacing w:before="0" w:after="0" w:line="240" w:lineRule="auto"/>
      </w:pPr>
      <w:r>
        <w:separator/>
      </w:r>
    </w:p>
  </w:endnote>
  <w:endnote w:type="continuationSeparator" w:id="0">
    <w:p w:rsidR="00ED2691" w:rsidRDefault="0092417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cofont_Spranq_eco_Sans">
    <w:charset w:val="00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-Bold">
    <w:altName w:val="Times New Roman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E02" w:rsidRDefault="00924179">
    <w:pPr>
      <w:pStyle w:val="Rodap"/>
      <w:rPr>
        <w:rFonts w:ascii="Times New Roman" w:hAnsi="Times New Roman"/>
      </w:rPr>
    </w:pPr>
    <w:r>
      <w:rPr>
        <w:rFonts w:ascii="Times New Roman" w:hAnsi="Times New Roman"/>
      </w:rPr>
      <w:t>__________________________________________________________________</w:t>
    </w:r>
  </w:p>
  <w:p w:rsidR="004F0E02" w:rsidRDefault="00924179">
    <w:pPr>
      <w:pStyle w:val="Rodap"/>
      <w:jc w:val="center"/>
      <w:rPr>
        <w:rFonts w:cs="Arial"/>
        <w:sz w:val="14"/>
        <w:szCs w:val="14"/>
      </w:rPr>
    </w:pPr>
    <w:r>
      <w:rPr>
        <w:rFonts w:cs="Arial"/>
        <w:sz w:val="14"/>
        <w:szCs w:val="14"/>
      </w:rPr>
      <w:t xml:space="preserve">São João do Barro Preto, Interior, </w:t>
    </w:r>
    <w:proofErr w:type="spellStart"/>
    <w:r>
      <w:rPr>
        <w:rFonts w:cs="Arial"/>
        <w:sz w:val="14"/>
        <w:szCs w:val="14"/>
      </w:rPr>
      <w:t>Cx.P</w:t>
    </w:r>
    <w:proofErr w:type="spellEnd"/>
    <w:r>
      <w:rPr>
        <w:rFonts w:cs="Arial"/>
        <w:sz w:val="14"/>
        <w:szCs w:val="14"/>
      </w:rPr>
      <w:t xml:space="preserve">. 38, CEP: </w:t>
    </w:r>
    <w:proofErr w:type="gramStart"/>
    <w:r>
      <w:rPr>
        <w:rFonts w:cs="Arial"/>
        <w:sz w:val="14"/>
        <w:szCs w:val="14"/>
      </w:rPr>
      <w:t>98130-000, Júlio</w:t>
    </w:r>
    <w:proofErr w:type="gramEnd"/>
    <w:r>
      <w:rPr>
        <w:rFonts w:cs="Arial"/>
        <w:sz w:val="14"/>
        <w:szCs w:val="14"/>
      </w:rPr>
      <w:t xml:space="preserve"> de Castilhos/RS</w:t>
    </w:r>
  </w:p>
  <w:p w:rsidR="004F0E02" w:rsidRDefault="00924179">
    <w:pPr>
      <w:pStyle w:val="Rodap"/>
      <w:jc w:val="center"/>
      <w:rPr>
        <w:rFonts w:ascii="Helvetica-Bold" w:eastAsia="Helvetica-Bold" w:hAnsi="Helvetica-Bold" w:cs="Helvetica-Bold"/>
        <w:b/>
        <w:bCs/>
        <w:sz w:val="15"/>
        <w:szCs w:val="15"/>
      </w:rPr>
    </w:pPr>
    <w:r>
      <w:rPr>
        <w:rFonts w:ascii="Helvetica-Bold" w:eastAsia="Helvetica-Bold" w:hAnsi="Helvetica-Bold" w:cs="Helvetica-Bold"/>
        <w:b/>
        <w:bCs/>
        <w:sz w:val="15"/>
        <w:szCs w:val="15"/>
      </w:rPr>
      <w:t xml:space="preserve">Fone: (55) 3271-9505/ E-mail: </w:t>
    </w:r>
    <w:hyperlink r:id="rId1">
      <w:r>
        <w:rPr>
          <w:rStyle w:val="LinkdaInternet"/>
          <w:rFonts w:ascii="Helvetica-Bold" w:eastAsia="Helvetica-Bold" w:hAnsi="Helvetica-Bold"/>
        </w:rPr>
        <w:t>licita</w:t>
      </w:r>
    </w:hyperlink>
    <w:hyperlink r:id="rId2">
      <w:r>
        <w:rPr>
          <w:rStyle w:val="LinkdaInternet"/>
          <w:rFonts w:ascii="Helvetica-Bold" w:eastAsia="Helvetica-Bold" w:hAnsi="Helvetica-Bold"/>
        </w:rPr>
        <w:t>co</w:t>
      </w:r>
    </w:hyperlink>
    <w:hyperlink r:id="rId3">
      <w:r>
        <w:rPr>
          <w:rStyle w:val="LinkdaInternet"/>
          <w:rFonts w:ascii="Helvetica-Bold" w:eastAsia="Helvetica-Bold" w:hAnsi="Helvetica-Bold"/>
        </w:rPr>
        <w:t>es</w:t>
      </w:r>
    </w:hyperlink>
    <w:hyperlink r:id="rId4">
      <w:r>
        <w:rPr>
          <w:rStyle w:val="LinkdaInternet"/>
          <w:rFonts w:ascii="Helvetica-Bold" w:eastAsia="Helvetica-Bold" w:hAnsi="Helvetica-Bold"/>
        </w:rPr>
        <w:t>.jc</w:t>
      </w:r>
    </w:hyperlink>
    <w:hyperlink r:id="rId5">
      <w:r>
        <w:rPr>
          <w:rStyle w:val="LinkdaInternet"/>
          <w:rFonts w:ascii="Helvetica-Bold" w:eastAsia="Helvetica-Bold" w:hAnsi="Helvetica-Bold"/>
        </w:rPr>
        <w:t>@</w:t>
      </w:r>
      <w:proofErr w:type="gramStart"/>
      <w:r>
        <w:rPr>
          <w:rStyle w:val="LinkdaInternet"/>
          <w:rFonts w:ascii="Helvetica-Bold" w:eastAsia="Helvetica-Bold" w:hAnsi="Helvetica-Bold"/>
        </w:rPr>
        <w:t>iffarroupilha.edu.</w:t>
      </w:r>
      <w:proofErr w:type="gramEnd"/>
      <w:r>
        <w:rPr>
          <w:rStyle w:val="LinkdaInternet"/>
          <w:rFonts w:ascii="Helvetica-Bold" w:eastAsia="Helvetica-Bold" w:hAnsi="Helvetica-Bold"/>
        </w:rPr>
        <w:t>br</w:t>
      </w:r>
    </w:hyperlink>
    <w:r>
      <w:rPr>
        <w:rFonts w:ascii="Helvetica-Bold" w:eastAsia="Helvetica-Bold" w:hAnsi="Helvetica-Bold" w:cs="Helvetica-Bold"/>
        <w:b/>
        <w:bCs/>
        <w:sz w:val="15"/>
        <w:szCs w:val="15"/>
      </w:rPr>
      <w:t>.</w:t>
    </w:r>
  </w:p>
  <w:p w:rsidR="004F0E02" w:rsidRDefault="004F0E02">
    <w:pPr>
      <w:pStyle w:val="Rodap"/>
      <w:rPr>
        <w:rFonts w:cs="Arial"/>
      </w:rPr>
    </w:pPr>
  </w:p>
  <w:p w:rsidR="004F0E02" w:rsidRDefault="004F0E02">
    <w:pPr>
      <w:pStyle w:val="Rodap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691" w:rsidRDefault="00924179">
      <w:pPr>
        <w:spacing w:before="0" w:after="0" w:line="240" w:lineRule="auto"/>
      </w:pPr>
      <w:r>
        <w:separator/>
      </w:r>
    </w:p>
  </w:footnote>
  <w:footnote w:type="continuationSeparator" w:id="0">
    <w:p w:rsidR="00ED2691" w:rsidRDefault="0092417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E02" w:rsidRDefault="00924179">
    <w:pPr>
      <w:pStyle w:val="Cabealho"/>
      <w:jc w:val="center"/>
    </w:pPr>
    <w:r>
      <w:rPr>
        <w:noProof/>
        <w:lang w:eastAsia="pt-BR"/>
      </w:rPr>
      <w:drawing>
        <wp:inline distT="0" distB="0" distL="0" distR="0">
          <wp:extent cx="532130" cy="540385"/>
          <wp:effectExtent l="0" t="0" r="0" b="0"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F0E02" w:rsidRDefault="00924179">
    <w:pPr>
      <w:pStyle w:val="LO-Normal"/>
      <w:pageBreakBefore/>
      <w:spacing w:line="100" w:lineRule="atLeast"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MINISTÉRIO DA EDUCAÇÃO</w:t>
    </w:r>
  </w:p>
  <w:p w:rsidR="004F0E02" w:rsidRDefault="00924179">
    <w:pPr>
      <w:pStyle w:val="LO-Normal"/>
      <w:spacing w:line="100" w:lineRule="atLeast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INSTITUTO FEDERAL FARROUPILHA</w:t>
    </w:r>
  </w:p>
  <w:p w:rsidR="004F0E02" w:rsidRDefault="00924179">
    <w:pPr>
      <w:pStyle w:val="Cabealho"/>
      <w:jc w:val="center"/>
    </w:pPr>
    <w:r>
      <w:t>CÂMPUS JÚLIO DE CASTILHOS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D42DA"/>
    <w:multiLevelType w:val="multilevel"/>
    <w:tmpl w:val="A992EE9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A833DAE"/>
    <w:multiLevelType w:val="multilevel"/>
    <w:tmpl w:val="F758B244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>
    <w:nsid w:val="29612012"/>
    <w:multiLevelType w:val="multilevel"/>
    <w:tmpl w:val="20FCA624"/>
    <w:lvl w:ilvl="0">
      <w:start w:val="1"/>
      <w:numFmt w:val="upperRoman"/>
      <w:lvlText w:val="%1-"/>
      <w:lvlJc w:val="left"/>
      <w:pPr>
        <w:ind w:left="1145" w:hanging="720"/>
      </w:pPr>
    </w:lvl>
    <w:lvl w:ilvl="1">
      <w:start w:val="1"/>
      <w:numFmt w:val="lowerLetter"/>
      <w:lvlText w:val="%2."/>
      <w:lvlJc w:val="left"/>
      <w:pPr>
        <w:ind w:left="1505" w:hanging="360"/>
      </w:pPr>
    </w:lvl>
    <w:lvl w:ilvl="2">
      <w:start w:val="1"/>
      <w:numFmt w:val="lowerRoman"/>
      <w:lvlText w:val="%3."/>
      <w:lvlJc w:val="right"/>
      <w:pPr>
        <w:ind w:left="2225" w:hanging="180"/>
      </w:pPr>
    </w:lvl>
    <w:lvl w:ilvl="3">
      <w:start w:val="1"/>
      <w:numFmt w:val="decimal"/>
      <w:lvlText w:val="%4."/>
      <w:lvlJc w:val="left"/>
      <w:pPr>
        <w:ind w:left="2945" w:hanging="360"/>
      </w:pPr>
    </w:lvl>
    <w:lvl w:ilvl="4">
      <w:start w:val="1"/>
      <w:numFmt w:val="lowerLetter"/>
      <w:lvlText w:val="%5."/>
      <w:lvlJc w:val="left"/>
      <w:pPr>
        <w:ind w:left="3665" w:hanging="360"/>
      </w:pPr>
    </w:lvl>
    <w:lvl w:ilvl="5">
      <w:start w:val="1"/>
      <w:numFmt w:val="lowerRoman"/>
      <w:lvlText w:val="%6."/>
      <w:lvlJc w:val="right"/>
      <w:pPr>
        <w:ind w:left="4385" w:hanging="180"/>
      </w:pPr>
    </w:lvl>
    <w:lvl w:ilvl="6">
      <w:start w:val="1"/>
      <w:numFmt w:val="decimal"/>
      <w:lvlText w:val="%7."/>
      <w:lvlJc w:val="left"/>
      <w:pPr>
        <w:ind w:left="5105" w:hanging="360"/>
      </w:pPr>
    </w:lvl>
    <w:lvl w:ilvl="7">
      <w:start w:val="1"/>
      <w:numFmt w:val="lowerLetter"/>
      <w:lvlText w:val="%8."/>
      <w:lvlJc w:val="left"/>
      <w:pPr>
        <w:ind w:left="5825" w:hanging="360"/>
      </w:pPr>
    </w:lvl>
    <w:lvl w:ilvl="8">
      <w:start w:val="1"/>
      <w:numFmt w:val="lowerRoman"/>
      <w:lvlText w:val="%9."/>
      <w:lvlJc w:val="right"/>
      <w:pPr>
        <w:ind w:left="6545" w:hanging="180"/>
      </w:pPr>
    </w:lvl>
  </w:abstractNum>
  <w:abstractNum w:abstractNumId="3">
    <w:nsid w:val="2D944AC4"/>
    <w:multiLevelType w:val="multilevel"/>
    <w:tmpl w:val="EFF8B056"/>
    <w:lvl w:ilvl="0">
      <w:start w:val="1"/>
      <w:numFmt w:val="upperRoman"/>
      <w:lvlText w:val="%1-"/>
      <w:lvlJc w:val="left"/>
      <w:pPr>
        <w:ind w:left="1145" w:hanging="720"/>
      </w:pPr>
    </w:lvl>
    <w:lvl w:ilvl="1">
      <w:start w:val="1"/>
      <w:numFmt w:val="lowerLetter"/>
      <w:lvlText w:val="%2."/>
      <w:lvlJc w:val="left"/>
      <w:pPr>
        <w:ind w:left="1505" w:hanging="360"/>
      </w:pPr>
    </w:lvl>
    <w:lvl w:ilvl="2">
      <w:start w:val="1"/>
      <w:numFmt w:val="lowerRoman"/>
      <w:lvlText w:val="%3."/>
      <w:lvlJc w:val="right"/>
      <w:pPr>
        <w:ind w:left="2225" w:hanging="180"/>
      </w:pPr>
    </w:lvl>
    <w:lvl w:ilvl="3">
      <w:start w:val="1"/>
      <w:numFmt w:val="decimal"/>
      <w:lvlText w:val="%4."/>
      <w:lvlJc w:val="left"/>
      <w:pPr>
        <w:ind w:left="2945" w:hanging="360"/>
      </w:pPr>
    </w:lvl>
    <w:lvl w:ilvl="4">
      <w:start w:val="1"/>
      <w:numFmt w:val="lowerLetter"/>
      <w:lvlText w:val="%5."/>
      <w:lvlJc w:val="left"/>
      <w:pPr>
        <w:ind w:left="3665" w:hanging="360"/>
      </w:pPr>
    </w:lvl>
    <w:lvl w:ilvl="5">
      <w:start w:val="1"/>
      <w:numFmt w:val="lowerRoman"/>
      <w:lvlText w:val="%6."/>
      <w:lvlJc w:val="right"/>
      <w:pPr>
        <w:ind w:left="4385" w:hanging="180"/>
      </w:pPr>
    </w:lvl>
    <w:lvl w:ilvl="6">
      <w:start w:val="1"/>
      <w:numFmt w:val="decimal"/>
      <w:lvlText w:val="%7."/>
      <w:lvlJc w:val="left"/>
      <w:pPr>
        <w:ind w:left="5105" w:hanging="360"/>
      </w:pPr>
    </w:lvl>
    <w:lvl w:ilvl="7">
      <w:start w:val="1"/>
      <w:numFmt w:val="lowerLetter"/>
      <w:lvlText w:val="%8."/>
      <w:lvlJc w:val="left"/>
      <w:pPr>
        <w:ind w:left="5825" w:hanging="360"/>
      </w:pPr>
    </w:lvl>
    <w:lvl w:ilvl="8">
      <w:start w:val="1"/>
      <w:numFmt w:val="lowerRoman"/>
      <w:lvlText w:val="%9."/>
      <w:lvlJc w:val="right"/>
      <w:pPr>
        <w:ind w:left="6545" w:hanging="180"/>
      </w:pPr>
    </w:lvl>
  </w:abstractNum>
  <w:abstractNum w:abstractNumId="4">
    <w:nsid w:val="4B7800F5"/>
    <w:multiLevelType w:val="multilevel"/>
    <w:tmpl w:val="AD32E91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i w:val="0"/>
        <w:color w:val="00000A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  <w:color w:val="00000A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1FA1F2C"/>
    <w:multiLevelType w:val="multilevel"/>
    <w:tmpl w:val="003E9F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i/>
        <w:color w:val="00000A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i/>
        <w:color w:val="00000A"/>
      </w:r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F0E02"/>
    <w:rsid w:val="004F0E02"/>
    <w:rsid w:val="007D5464"/>
    <w:rsid w:val="00924179"/>
    <w:rsid w:val="00ED2691"/>
    <w:rsid w:val="00F40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before="227" w:after="170"/>
      <w:jc w:val="both"/>
      <w:textAlignment w:val="baseline"/>
    </w:pPr>
    <w:rPr>
      <w:rFonts w:ascii="Arial" w:eastAsia="Times New Roman" w:hAnsi="Arial" w:cs="Times New Roman"/>
      <w:color w:val="00000A"/>
      <w:sz w:val="24"/>
      <w:szCs w:val="24"/>
      <w:lang w:eastAsia="zh-CN"/>
    </w:rPr>
  </w:style>
  <w:style w:type="paragraph" w:styleId="Ttulo1">
    <w:name w:val="heading 1"/>
    <w:basedOn w:val="Normal"/>
    <w:pPr>
      <w:keepNext/>
      <w:keepLines/>
      <w:spacing w:before="240" w:after="0"/>
      <w:outlineLvl w:val="0"/>
    </w:pPr>
    <w:rPr>
      <w:rFonts w:ascii="Cambria" w:hAnsi="Cambria"/>
      <w:color w:val="365F91"/>
      <w:sz w:val="32"/>
      <w:szCs w:val="32"/>
    </w:rPr>
  </w:style>
  <w:style w:type="paragraph" w:styleId="Ttulo2">
    <w:name w:val="heading 2"/>
    <w:basedOn w:val="Normal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rPr>
      <w:rFonts w:ascii="Tahoma" w:hAnsi="Tahoma" w:cs="Tahoma"/>
      <w:sz w:val="16"/>
      <w:szCs w:val="16"/>
    </w:rPr>
  </w:style>
  <w:style w:type="character" w:customStyle="1" w:styleId="Ttulo2Char">
    <w:name w:val="Título 2 Char"/>
    <w:rPr>
      <w:b/>
      <w:color w:val="000000"/>
      <w:sz w:val="24"/>
    </w:rPr>
  </w:style>
  <w:style w:type="character" w:customStyle="1" w:styleId="normalchar1">
    <w:name w:val="normal__char1"/>
    <w:rPr>
      <w:rFonts w:ascii="Arial" w:hAnsi="Arial" w:cs="Arial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citao2Char">
    <w:name w:val="citação 2 Char"/>
    <w:basedOn w:val="GradeColorida-nfase1Char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character" w:customStyle="1" w:styleId="CitaoChar">
    <w:name w:val="Citação Char"/>
    <w:basedOn w:val="Fontepargpadro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pt-BR" w:eastAsia="en-US"/>
    </w:rPr>
  </w:style>
  <w:style w:type="character" w:customStyle="1" w:styleId="CabealhoChar">
    <w:name w:val="Cabeçalho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RodapChar">
    <w:name w:val="Rodapé Char"/>
    <w:basedOn w:val="Fontepargpadro"/>
    <w:rPr>
      <w:rFonts w:ascii="Ecofont_Spranq_eco_Sans" w:hAnsi="Ecofont_Spranq_eco_Sans" w:cs="Tahoma"/>
      <w:sz w:val="24"/>
      <w:szCs w:val="24"/>
    </w:rPr>
  </w:style>
  <w:style w:type="character" w:customStyle="1" w:styleId="Ttulo1Char">
    <w:name w:val="Título 1 Char"/>
    <w:basedOn w:val="Fontepargpadro"/>
    <w:rPr>
      <w:rFonts w:ascii="Cambria" w:hAnsi="Cambria"/>
      <w:color w:val="365F91"/>
      <w:sz w:val="32"/>
      <w:szCs w:val="32"/>
    </w:rPr>
  </w:style>
  <w:style w:type="character" w:styleId="Refdecomentrio">
    <w:name w:val="annotation reference"/>
    <w:basedOn w:val="Fontepargpadro"/>
    <w:rPr>
      <w:sz w:val="18"/>
      <w:szCs w:val="18"/>
    </w:rPr>
  </w:style>
  <w:style w:type="character" w:customStyle="1" w:styleId="TextodecomentrioChar">
    <w:name w:val="Texto de comentário Char"/>
    <w:basedOn w:val="Fontepargpadro"/>
    <w:rPr>
      <w:rFonts w:ascii="Arial" w:hAnsi="Arial" w:cs="Tahoma"/>
      <w:sz w:val="24"/>
      <w:szCs w:val="24"/>
    </w:rPr>
  </w:style>
  <w:style w:type="character" w:customStyle="1" w:styleId="Fontepargpadro7">
    <w:name w:val="Fonte parág. padrão7"/>
  </w:style>
  <w:style w:type="character" w:customStyle="1" w:styleId="WW-WW8Num1ztrue7">
    <w:name w:val="WW-WW8Num1ztrue7"/>
  </w:style>
  <w:style w:type="character" w:customStyle="1" w:styleId="Fontepargpadro2">
    <w:name w:val="Fonte parág. padrão2"/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b w:val="0"/>
      <w:i w:val="0"/>
      <w:color w:val="00000A"/>
    </w:rPr>
  </w:style>
  <w:style w:type="character" w:customStyle="1" w:styleId="ListLabel3">
    <w:name w:val="ListLabel 3"/>
    <w:rPr>
      <w:rFonts w:eastAsia="Arial Unicode MS"/>
    </w:rPr>
  </w:style>
  <w:style w:type="character" w:customStyle="1" w:styleId="ListLabel4">
    <w:name w:val="ListLabel 4"/>
    <w:rPr>
      <w:rFonts w:cs="Arial"/>
      <w:i/>
      <w:color w:val="FF0000"/>
    </w:rPr>
  </w:style>
  <w:style w:type="character" w:customStyle="1" w:styleId="ListLabel5">
    <w:name w:val="ListLabel 5"/>
    <w:rPr>
      <w:color w:val="0000FF"/>
    </w:rPr>
  </w:style>
  <w:style w:type="character" w:customStyle="1" w:styleId="ListLabel6">
    <w:name w:val="ListLabel 6"/>
    <w:rPr>
      <w:b w:val="0"/>
    </w:rPr>
  </w:style>
  <w:style w:type="character" w:customStyle="1" w:styleId="ListLabel7">
    <w:name w:val="ListLabel 7"/>
    <w:rPr>
      <w:b/>
      <w:i w:val="0"/>
    </w:rPr>
  </w:style>
  <w:style w:type="character" w:customStyle="1" w:styleId="ListLabel8">
    <w:name w:val="ListLabel 8"/>
    <w:rPr>
      <w:b/>
      <w:i w:val="0"/>
      <w:color w:val="00000A"/>
    </w:rPr>
  </w:style>
  <w:style w:type="character" w:customStyle="1" w:styleId="ListLabel9">
    <w:name w:val="ListLabel 9"/>
    <w:rPr>
      <w:b w:val="0"/>
      <w:i w:val="0"/>
    </w:rPr>
  </w:style>
  <w:style w:type="character" w:customStyle="1" w:styleId="ListLabel10">
    <w:name w:val="ListLabel 10"/>
    <w:rPr>
      <w:rFonts w:cs="Courier New"/>
    </w:rPr>
  </w:style>
  <w:style w:type="character" w:customStyle="1" w:styleId="ListLabel11">
    <w:name w:val="ListLabel 11"/>
    <w:rPr>
      <w:b/>
      <w:i/>
      <w:color w:val="00000A"/>
    </w:rPr>
  </w:style>
  <w:style w:type="character" w:customStyle="1" w:styleId="ListLabel12">
    <w:name w:val="ListLabel 12"/>
    <w:rPr>
      <w:b/>
    </w:rPr>
  </w:style>
  <w:style w:type="character" w:customStyle="1" w:styleId="ListLabel13">
    <w:name w:val="ListLabel 13"/>
    <w:rPr>
      <w:b w:val="0"/>
      <w:i w:val="0"/>
      <w:color w:val="00000A"/>
    </w:rPr>
  </w:style>
  <w:style w:type="character" w:customStyle="1" w:styleId="ListLabel14">
    <w:name w:val="ListLabel 14"/>
    <w:rPr>
      <w:rFonts w:cs="Symbol"/>
    </w:rPr>
  </w:style>
  <w:style w:type="character" w:customStyle="1" w:styleId="ListLabel15">
    <w:name w:val="ListLabel 15"/>
    <w:rPr>
      <w:b/>
      <w:i/>
      <w:color w:val="00000A"/>
    </w:rPr>
  </w:style>
  <w:style w:type="paragraph" w:styleId="Ttulo">
    <w:name w:val="Title"/>
    <w:basedOn w:val="Normal"/>
    <w:next w:val="Corpodotexto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Corpodotexto">
    <w:name w:val="Corpo do texto"/>
    <w:basedOn w:val="Normal"/>
    <w:pPr>
      <w:spacing w:before="0" w:after="120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ListaColorida-nfase11">
    <w:name w:val="Lista Colorida - Ênfase 11"/>
    <w:basedOn w:val="Normal"/>
    <w:pPr>
      <w:spacing w:before="0" w:after="0"/>
      <w:ind w:left="720"/>
      <w:contextualSpacing/>
    </w:pPr>
  </w:style>
  <w:style w:type="paragraph" w:styleId="NormalWeb">
    <w:name w:val="Normal (Web)"/>
    <w:basedOn w:val="Normal"/>
    <w:pPr>
      <w:spacing w:before="280" w:after="280"/>
    </w:pPr>
    <w:rPr>
      <w:rFonts w:ascii="Times New Roman" w:hAnsi="Times New Roman"/>
    </w:rPr>
  </w:style>
  <w:style w:type="paragraph" w:styleId="Textodebalo">
    <w:name w:val="Balloon Text"/>
    <w:basedOn w:val="Normal"/>
    <w:rPr>
      <w:rFonts w:ascii="Tahoma" w:hAnsi="Tahoma"/>
      <w:sz w:val="16"/>
      <w:szCs w:val="16"/>
    </w:rPr>
  </w:style>
  <w:style w:type="paragraph" w:customStyle="1" w:styleId="Nvel2">
    <w:name w:val="Nível 2"/>
    <w:basedOn w:val="Normal"/>
    <w:pPr>
      <w:spacing w:before="0" w:after="120"/>
    </w:pPr>
    <w:rPr>
      <w:b/>
      <w:szCs w:val="20"/>
    </w:rPr>
  </w:style>
  <w:style w:type="paragraph" w:customStyle="1" w:styleId="GradeColorida-nfase11">
    <w:name w:val="Grade Colorida - Ênfase 11"/>
    <w:basedOn w:val="Normal"/>
    <w:pPr>
      <w:pBdr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</w:pBdr>
      <w:shd w:val="clear" w:color="auto" w:fill="FFFFCC"/>
      <w:spacing w:before="120" w:after="0"/>
    </w:pPr>
    <w:rPr>
      <w:rFonts w:eastAsia="Calibri"/>
      <w:i/>
      <w:iCs/>
      <w:color w:val="000000"/>
      <w:sz w:val="20"/>
      <w:lang w:eastAsia="en-US"/>
    </w:rPr>
  </w:style>
  <w:style w:type="paragraph" w:styleId="Commarcadores5">
    <w:name w:val="List Bullet 5"/>
    <w:basedOn w:val="Normal"/>
    <w:pPr>
      <w:spacing w:before="0" w:after="0"/>
      <w:contextualSpacing/>
    </w:pPr>
  </w:style>
  <w:style w:type="paragraph" w:customStyle="1" w:styleId="citao2">
    <w:name w:val="citação 2"/>
    <w:basedOn w:val="GradeColorida-nfase11"/>
    <w:rPr>
      <w:szCs w:val="20"/>
    </w:rPr>
  </w:style>
  <w:style w:type="paragraph" w:styleId="Citao">
    <w:name w:val="Quote"/>
    <w:basedOn w:val="Normal"/>
    <w:pPr>
      <w:pBdr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</w:pBdr>
      <w:shd w:val="clear" w:color="auto" w:fill="FFFFCC"/>
      <w:spacing w:before="120" w:after="0"/>
    </w:pPr>
    <w:rPr>
      <w:rFonts w:eastAsia="Calibri"/>
      <w:i/>
      <w:iCs/>
      <w:color w:val="000000"/>
      <w:sz w:val="20"/>
      <w:lang w:eastAsia="en-US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styleId="PargrafodaLista">
    <w:name w:val="List Paragraph"/>
    <w:basedOn w:val="Normal"/>
    <w:pPr>
      <w:spacing w:before="0" w:after="0"/>
      <w:ind w:left="720"/>
      <w:contextualSpacing/>
    </w:pPr>
  </w:style>
  <w:style w:type="paragraph" w:customStyle="1" w:styleId="Nivel1">
    <w:name w:val="Nivel1"/>
    <w:basedOn w:val="Ttulo1"/>
    <w:pPr>
      <w:spacing w:before="480" w:after="120"/>
      <w:ind w:left="357" w:hanging="357"/>
    </w:pPr>
    <w:rPr>
      <w:rFonts w:ascii="Arial" w:hAnsi="Arial" w:cs="Arial"/>
      <w:b/>
      <w:color w:val="000000"/>
      <w:sz w:val="20"/>
      <w:szCs w:val="20"/>
    </w:rPr>
  </w:style>
  <w:style w:type="paragraph" w:styleId="Textodecomentrio">
    <w:name w:val="annotation text"/>
    <w:basedOn w:val="Normal"/>
  </w:style>
  <w:style w:type="paragraph" w:customStyle="1" w:styleId="LO-Normal">
    <w:name w:val="LO-Normal"/>
    <w:pPr>
      <w:widowControl w:val="0"/>
      <w:suppressAutoHyphens/>
    </w:pPr>
    <w:rPr>
      <w:rFonts w:ascii="Calibri" w:eastAsia="Calibri" w:hAnsi="Calibri" w:cs="Times New Roman"/>
      <w:color w:val="00000A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1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2544</Words>
  <Characters>13740</Characters>
  <Application>Microsoft Office Word</Application>
  <DocSecurity>0</DocSecurity>
  <Lines>114</Lines>
  <Paragraphs>32</Paragraphs>
  <ScaleCrop>false</ScaleCrop>
  <Company/>
  <LinksUpToDate>false</LinksUpToDate>
  <CharactersWithSpaces>16252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Luciana Cristofari</cp:lastModifiedBy>
  <cp:revision>5</cp:revision>
  <cp:lastPrinted>2018-05-17T13:57:00Z</cp:lastPrinted>
  <dcterms:created xsi:type="dcterms:W3CDTF">2018-06-22T16:23:00Z</dcterms:created>
  <dcterms:modified xsi:type="dcterms:W3CDTF">2018-12-17T12:07:00Z</dcterms:modified>
</cp:coreProperties>
</file>