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_rels/footer1.xml.rels" ContentType="application/vnd.openxmlformats-package.relationships+xml"/>
  <Override PartName="/word/settings.xml" ContentType="application/vnd.openxmlformats-officedocument.wordprocessingml.settings+xml"/>
  <Override PartName="/word/media/image1.jpeg" ContentType="image/jpeg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pacing w:after="170" w:before="227" w:line="360" w:lineRule="auto"/>
        <w:contextualSpacing w:val="false"/>
        <w:jc w:val="center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  <w:t>TERMO DE REFERÊNCIA</w:t>
      </w:r>
    </w:p>
    <w:p>
      <w:pPr>
        <w:pStyle w:val="style0"/>
        <w:spacing w:line="360" w:lineRule="auto"/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>Sistema de Registro de Preços</w:t>
      </w:r>
    </w:p>
    <w:p>
      <w:pPr>
        <w:pStyle w:val="style0"/>
        <w:spacing w:line="360" w:lineRule="auto"/>
        <w:jc w:val="center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  <w:t>PREGÃO ELETRÔNICO</w:t>
      </w:r>
    </w:p>
    <w:p>
      <w:pPr>
        <w:pStyle w:val="style0"/>
        <w:spacing w:line="360" w:lineRule="auto"/>
        <w:jc w:val="center"/>
        <w:rPr>
          <w:rFonts w:cs="Arial"/>
          <w:bCs/>
          <w:iCs/>
          <w:color w:val="000000"/>
        </w:rPr>
      </w:pPr>
      <w:r>
        <w:rPr>
          <w:rFonts w:cs="Arial"/>
          <w:bCs/>
          <w:iCs/>
          <w:color w:val="000000"/>
        </w:rPr>
        <w:t>(COMPRAS)</w:t>
      </w:r>
    </w:p>
    <w:p>
      <w:pPr>
        <w:pStyle w:val="style0"/>
        <w:spacing w:line="360" w:lineRule="auto"/>
        <w:jc w:val="center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</w:r>
    </w:p>
    <w:p>
      <w:pPr>
        <w:pStyle w:val="style0"/>
        <w:spacing w:line="360" w:lineRule="auto"/>
        <w:jc w:val="center"/>
        <w:rPr>
          <w:rFonts w:cs="Arial"/>
          <w:b/>
          <w:bCs/>
          <w:i/>
          <w:color w:val="000000"/>
        </w:rPr>
      </w:pPr>
      <w:r>
        <w:rPr>
          <w:rFonts w:cs="Arial"/>
          <w:b/>
          <w:bCs/>
          <w:i/>
          <w:color w:val="000000"/>
        </w:rPr>
        <w:t>INSTITUTO FEDERAL DE EDUCAÇÃO, CIENCIA E TECNOLOGIA FARROUPILHA</w:t>
      </w:r>
    </w:p>
    <w:p>
      <w:pPr>
        <w:pStyle w:val="style0"/>
        <w:spacing w:line="360" w:lineRule="auto"/>
        <w:jc w:val="center"/>
        <w:rPr>
          <w:rFonts w:cs="Arial"/>
          <w:b/>
          <w:bCs/>
          <w:i/>
          <w:color w:val="000000"/>
        </w:rPr>
      </w:pPr>
      <w:r>
        <w:rPr>
          <w:rFonts w:cs="Arial"/>
          <w:b/>
          <w:bCs/>
          <w:i/>
          <w:color w:val="000000"/>
        </w:rPr>
        <w:t>CAMPUS JÚLIO DE CASTILHOS</w:t>
      </w:r>
    </w:p>
    <w:p>
      <w:pPr>
        <w:pStyle w:val="style0"/>
        <w:spacing w:line="360" w:lineRule="auto"/>
        <w:jc w:val="center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  <w:t xml:space="preserve">PREGÃO </w:t>
      </w:r>
      <w:r>
        <w:rPr>
          <w:rFonts w:cs="Arial"/>
          <w:b/>
          <w:bCs/>
        </w:rPr>
        <w:t xml:space="preserve">SRP </w:t>
      </w:r>
      <w:r>
        <w:rPr>
          <w:rFonts w:cs="Arial"/>
          <w:b/>
          <w:bCs/>
          <w:color w:val="000000"/>
        </w:rPr>
        <w:t>Nº 10/2018</w:t>
      </w:r>
    </w:p>
    <w:p>
      <w:pPr>
        <w:pStyle w:val="style0"/>
        <w:spacing w:line="360" w:lineRule="auto"/>
        <w:jc w:val="center"/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(Processo Administrativo n.°23.239.000513/2018-60)</w:t>
      </w:r>
    </w:p>
    <w:p>
      <w:pPr>
        <w:pStyle w:val="style0"/>
        <w:spacing w:after="120" w:before="0" w:line="360" w:lineRule="auto"/>
        <w:ind w:hanging="0" w:left="0" w:right="-15"/>
        <w:contextualSpacing w:val="false"/>
        <w:jc w:val="center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</w:r>
    </w:p>
    <w:p>
      <w:pPr>
        <w:pStyle w:val="style0"/>
        <w:numPr>
          <w:ilvl w:val="0"/>
          <w:numId w:val="1"/>
        </w:numPr>
        <w:spacing w:after="120" w:before="0" w:line="360" w:lineRule="auto"/>
        <w:ind w:hanging="360" w:left="360" w:right="-15"/>
        <w:contextualSpacing w:val="false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t>DO OBJETO</w:t>
      </w:r>
    </w:p>
    <w:p>
      <w:pPr>
        <w:pStyle w:val="style0"/>
        <w:spacing w:after="120" w:before="0" w:line="360" w:lineRule="auto"/>
        <w:ind w:hanging="0" w:left="360" w:right="-15"/>
        <w:contextualSpacing w:val="false"/>
        <w:jc w:val="both"/>
        <w:rPr>
          <w:rFonts w:cs="Arial"/>
          <w:b/>
          <w:color w:val="000000"/>
          <w:lang w:val="pt-BR"/>
        </w:rPr>
      </w:pPr>
      <w:r>
        <w:rPr>
          <w:rFonts w:cs="Arial"/>
          <w:b/>
          <w:color w:val="000000"/>
          <w:lang w:val="pt-BR"/>
        </w:rPr>
      </w:r>
    </w:p>
    <w:p>
      <w:pPr>
        <w:pStyle w:val="style0"/>
        <w:numPr>
          <w:ilvl w:val="1"/>
          <w:numId w:val="2"/>
        </w:numPr>
        <w:spacing w:after="120" w:before="120" w:line="360" w:lineRule="auto"/>
        <w:ind w:hanging="360" w:left="1080" w:right="0"/>
        <w:contextualSpacing w:val="false"/>
        <w:jc w:val="both"/>
        <w:rPr>
          <w:rFonts w:cs="Arial"/>
        </w:rPr>
      </w:pPr>
      <w:r>
        <w:rPr>
          <w:rFonts w:cs="Arial"/>
        </w:rPr>
        <w:t xml:space="preserve">Aquisição de materiais de construção e infraestrutura remanescente do PE </w:t>
      </w:r>
      <w:r>
        <w:rPr>
          <w:rFonts w:cs="Arial"/>
        </w:rPr>
        <w:t>04</w:t>
      </w:r>
      <w:r>
        <w:rPr>
          <w:rFonts w:cs="Arial"/>
        </w:rPr>
        <w:t>/2018, conforme condições, quantidades, exigências e estimativas, inclusive as encaminhadas pelos órgãos e entidades participantes , estabelecidas neste instrumento:</w:t>
      </w:r>
    </w:p>
    <w:p>
      <w:pPr>
        <w:pStyle w:val="style0"/>
        <w:tabs>
          <w:tab w:leader="none" w:pos="5040" w:val="left"/>
        </w:tabs>
        <w:spacing w:after="120" w:before="0" w:line="360" w:lineRule="auto"/>
        <w:contextualSpacing w:val="false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tab/>
      </w:r>
    </w:p>
    <w:p>
      <w:pPr>
        <w:pStyle w:val="style0"/>
        <w:spacing w:after="120" w:before="0" w:line="360" w:lineRule="auto"/>
        <w:contextualSpacing w:val="false"/>
        <w:jc w:val="both"/>
        <w:rPr>
          <w:rFonts w:cs="Arial"/>
          <w:i/>
          <w:color w:val="000000"/>
        </w:rPr>
      </w:pPr>
      <w:r>
        <w:rPr>
          <w:rFonts w:cs="Arial"/>
          <w:i/>
          <w:color w:val="000000"/>
        </w:rPr>
        <w:t>1.2 Estimativas de consumo individualizadas, do órgão gerenciador e órgão(s) e entidade(s) participante(s) encontram-se no Anexo I-A DESCRIÇÕES E QUANTITATIVOS..</w:t>
      </w:r>
    </w:p>
    <w:p>
      <w:pPr>
        <w:pStyle w:val="style0"/>
        <w:spacing w:after="120" w:before="0" w:line="360" w:lineRule="auto"/>
        <w:contextualSpacing w:val="false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</w:r>
    </w:p>
    <w:p>
      <w:pPr>
        <w:pStyle w:val="style0"/>
        <w:numPr>
          <w:ilvl w:val="0"/>
          <w:numId w:val="1"/>
        </w:numPr>
        <w:spacing w:after="120" w:before="0" w:line="360" w:lineRule="auto"/>
        <w:contextualSpacing w:val="false"/>
        <w:jc w:val="both"/>
        <w:rPr>
          <w:rFonts w:cs="Arial"/>
          <w:b/>
        </w:rPr>
      </w:pPr>
      <w:r>
        <w:rPr>
          <w:rFonts w:cs="Arial"/>
          <w:b/>
        </w:rPr>
        <w:t>JUSTIFICATIVA E OBJETIVO DA CONTRATAÇÃO</w:t>
      </w:r>
    </w:p>
    <w:p>
      <w:pPr>
        <w:pStyle w:val="style0"/>
        <w:numPr>
          <w:ilvl w:val="1"/>
          <w:numId w:val="1"/>
        </w:numPr>
        <w:tabs>
          <w:tab w:leader="none" w:pos="1142" w:val="left"/>
        </w:tabs>
        <w:spacing w:after="120" w:before="0" w:line="360" w:lineRule="auto"/>
        <w:contextualSpacing w:val="false"/>
        <w:jc w:val="both"/>
        <w:rPr>
          <w:rStyle w:val="style31"/>
          <w:rFonts w:cs="Arial"/>
        </w:rPr>
      </w:pPr>
      <w:r>
        <w:rPr>
          <w:rStyle w:val="style31"/>
          <w:rFonts w:cs="Arial"/>
        </w:rPr>
        <w:t>A presente licitação, na modalidade de Pregão no Sistema de Registro de Preços do objeto, para um período de 12 meses, objetivando o atendimento das necessidades de manutenção e pequenos reparos na infraestrutura do Campus de Júlio de Castilhos, bem como das UASGs participantes.</w:t>
      </w:r>
    </w:p>
    <w:p>
      <w:pPr>
        <w:pStyle w:val="style0"/>
        <w:numPr>
          <w:ilvl w:val="1"/>
          <w:numId w:val="1"/>
        </w:numPr>
        <w:tabs>
          <w:tab w:leader="none" w:pos="1142" w:val="left"/>
        </w:tabs>
        <w:spacing w:after="120" w:before="0" w:line="360" w:lineRule="auto"/>
        <w:contextualSpacing w:val="false"/>
        <w:jc w:val="both"/>
        <w:rPr>
          <w:rStyle w:val="style31"/>
          <w:rFonts w:cs="Arial"/>
        </w:rPr>
      </w:pPr>
      <w:r>
        <w:rPr>
          <w:rStyle w:val="style31"/>
          <w:rFonts w:cs="Arial"/>
        </w:rPr>
        <w:t>Visa, também atender a necessidade de aquisição/reposição de materiais de construção e infraestrutura, aqueles que devem ficar em estoque no Almoxarifado para realização de manutenções diárias nas estruturas acadêmicas, laboratório e estruturas de produção;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contextualSpacing w:val="false"/>
        <w:jc w:val="both"/>
        <w:rPr>
          <w:rStyle w:val="style31"/>
          <w:rFonts w:cs="Arial"/>
          <w:color w:val="000000"/>
        </w:rPr>
      </w:pPr>
      <w:r>
        <w:rPr>
          <w:rStyle w:val="style31"/>
          <w:rFonts w:cs="Arial"/>
          <w:color w:val="000000"/>
        </w:rPr>
        <w:t>Considerando a dinâmica do orçamento, dentro do cenário de disponibilidade e contingenciamentos, deliberou-se pela realização no Sistema de Registro de Preços, otimizando-se o rito processual, buscando-se economia de esforços e de recursos.</w:t>
      </w:r>
    </w:p>
    <w:p>
      <w:pPr>
        <w:pStyle w:val="style0"/>
        <w:numPr>
          <w:ilvl w:val="0"/>
          <w:numId w:val="1"/>
        </w:numPr>
        <w:spacing w:after="120" w:before="120" w:line="360" w:lineRule="auto"/>
        <w:ind w:hanging="360" w:left="360" w:right="0"/>
        <w:contextualSpacing w:val="false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t>CLASSIFICAÇÃO DOS BENS COMUNS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contextualSpacing w:val="false"/>
        <w:jc w:val="both"/>
        <w:rPr>
          <w:rStyle w:val="style31"/>
          <w:rFonts w:cs="Arial"/>
          <w:color w:val="000000"/>
        </w:rPr>
      </w:pPr>
      <w:r>
        <w:rPr>
          <w:rStyle w:val="style31"/>
          <w:rFonts w:cs="Arial"/>
          <w:color w:val="000000"/>
        </w:rPr>
        <w:t>Os materiais acima descrito classificam-se como Bens Comuns, de acordo com o Art. 1º da Lei 10.520/2002.</w:t>
      </w:r>
    </w:p>
    <w:p>
      <w:pPr>
        <w:pStyle w:val="style0"/>
        <w:spacing w:after="120" w:before="0" w:line="360" w:lineRule="auto"/>
        <w:ind w:hanging="0" w:left="360" w:right="-15"/>
        <w:contextualSpacing w:val="false"/>
        <w:jc w:val="both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</w:r>
    </w:p>
    <w:p>
      <w:pPr>
        <w:pStyle w:val="style0"/>
        <w:numPr>
          <w:ilvl w:val="0"/>
          <w:numId w:val="1"/>
        </w:numPr>
        <w:spacing w:after="120" w:before="120" w:line="360" w:lineRule="auto"/>
        <w:ind w:hanging="360" w:left="360" w:right="0"/>
        <w:contextualSpacing w:val="false"/>
        <w:jc w:val="both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  <w:t>ENTREGA E CRITÉRIOS DE ACEITAÇÃO DO OBJETO.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contextualSpacing w:val="false"/>
        <w:jc w:val="both"/>
        <w:rPr>
          <w:rFonts w:cs="Arial"/>
          <w:iCs/>
          <w:color w:val="000000"/>
          <w:shd w:fill="FFFFFF" w:val="clear"/>
        </w:rPr>
      </w:pPr>
      <w:r>
        <w:rPr>
          <w:rFonts w:cs="Arial"/>
          <w:iCs/>
          <w:color w:val="000000"/>
          <w:shd w:fill="FFFFFF" w:val="clear"/>
        </w:rPr>
        <w:t xml:space="preserve">O prazo de entrega dos bens é de 30(trinta) dias, contados do(a) recebimento da nota de empenho, em remessa </w:t>
      </w:r>
      <w:r>
        <w:rPr>
          <w:rFonts w:cs="Arial"/>
          <w:i/>
          <w:iCs/>
          <w:color w:val="FF0000"/>
          <w:shd w:fill="FFFFFF" w:val="clear"/>
        </w:rPr>
        <w:t>única</w:t>
      </w:r>
      <w:r>
        <w:rPr>
          <w:rFonts w:cs="Arial"/>
          <w:iCs/>
          <w:color w:val="000000"/>
          <w:shd w:fill="FFFFFF" w:val="clear"/>
        </w:rPr>
        <w:t>, no seguinte endereço da unidade solicitante.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contextualSpacing w:val="false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Os bens serão recebidos provisoriamente no prazo de 10(dez) dias, pelo(a) responsável pelo acompanhamento e fiscalização do contrato, para efeito de posterior verificação de sua conformidade com as especificações constantes neste Termo de Referência e na proposta.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contextualSpacing w:val="false"/>
        <w:jc w:val="both"/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Os bens poderão ser rejeitados, no todo ou em parte, quando em desacordo com as especificações constantes neste Termo de Referência e na proposta, devendo ser substituídos no prazo de 10(dez) dias, a contar da notificação da contratada, às suas custas, sem prejuízo da aplicação das penalidades.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contextualSpacing w:val="false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Os bens serão recebidos definitivamente no prazo de 15(quinze) dias, contados do recebimento provisório, após a verificação da qualidade e quantidade do material e consequente aceitação mediante termo circunstanciado.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contextualSpacing w:val="false"/>
        <w:jc w:val="both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t>Na hipótese de a verificação a que se refere o subitem anterior não ser procedida dentro do prazo fixado, reputar-se-á como realizada, consumando-se o recebimento definitivo no dia do esgotamento do prazo.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contextualSpacing w:val="false"/>
        <w:jc w:val="both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t>O recebimento provisório ou definitivo do objeto não exclui a responsabilidade da contratada pelos prejuízos resultantes da incorreta execução do contrato.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ind w:hanging="432" w:left="1142" w:right="0"/>
        <w:contextualSpacing w:val="false"/>
        <w:jc w:val="both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t>O recebimento provisório ou definitivo do objeto não exclui a responsabilidade da contratada pelos prejuízos resultantes da incorreta execução do contrato.</w:t>
      </w:r>
    </w:p>
    <w:p>
      <w:pPr>
        <w:pStyle w:val="style0"/>
        <w:spacing w:after="120" w:before="0" w:line="360" w:lineRule="auto"/>
        <w:ind w:hanging="0" w:left="567" w:right="-15"/>
        <w:contextualSpacing w:val="false"/>
        <w:jc w:val="both"/>
        <w:rPr>
          <w:rFonts w:cs="Arial"/>
          <w:color w:val="000000"/>
        </w:rPr>
      </w:pPr>
      <w:r>
        <w:rPr>
          <w:rFonts w:cs="Arial"/>
          <w:color w:val="000000"/>
        </w:rPr>
      </w:r>
    </w:p>
    <w:p>
      <w:pPr>
        <w:pStyle w:val="style0"/>
        <w:numPr>
          <w:ilvl w:val="0"/>
          <w:numId w:val="1"/>
        </w:numPr>
        <w:spacing w:after="120" w:before="120" w:line="360" w:lineRule="auto"/>
        <w:ind w:hanging="360" w:left="360" w:right="0"/>
        <w:contextualSpacing w:val="false"/>
        <w:jc w:val="both"/>
        <w:rPr>
          <w:rFonts w:cs="Arial"/>
          <w:b/>
          <w:bCs/>
          <w:color w:val="000000"/>
          <w:lang w:eastAsia="en-US"/>
        </w:rPr>
      </w:pPr>
      <w:r>
        <w:rPr>
          <w:rFonts w:cs="Arial"/>
          <w:b/>
          <w:bCs/>
          <w:color w:val="000000"/>
          <w:lang w:eastAsia="en-US"/>
        </w:rPr>
        <w:t>DAS OBRIGAÇÕES DA CONTRATANTE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ind w:hanging="432" w:left="1142" w:right="0"/>
        <w:contextualSpacing w:val="false"/>
        <w:jc w:val="both"/>
        <w:rPr>
          <w:rFonts w:cs="Arial"/>
        </w:rPr>
      </w:pPr>
      <w:r>
        <w:rPr>
          <w:rFonts w:cs="Arial"/>
        </w:rPr>
        <w:t>São obrigações da Contratante: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</w:rPr>
      </w:pPr>
      <w:r>
        <w:rPr>
          <w:rFonts w:cs="Arial"/>
        </w:rPr>
        <w:t>Receber o objeto no prazo e condições estabelecidas no Edital e seus anexos;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  <w:lang w:eastAsia="en-US"/>
        </w:rPr>
      </w:pPr>
      <w:r>
        <w:rPr>
          <w:rFonts w:cs="Arial"/>
          <w:lang w:eastAsia="en-US"/>
        </w:rPr>
        <w:t>Verificar minuciosamente, no prazo fixado, a conformidade dos bens recebidos provisoriamente com as especificações constantes do Edital e da proposta, para fins de aceitação e recebimento definitivo;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</w:rPr>
      </w:pPr>
      <w:r>
        <w:rPr>
          <w:rFonts w:cs="Arial"/>
        </w:rPr>
        <w:t>Comunicar à Contratada, por escrito, sobre imperfeições, falhas ou irregularidades verificadas no objeto fornecido, para que seja substituído, reparado ou corrigido;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  <w:lang w:eastAsia="en-US"/>
        </w:rPr>
      </w:pPr>
      <w:r>
        <w:rPr>
          <w:rFonts w:cs="Arial"/>
          <w:lang w:eastAsia="en-US"/>
        </w:rPr>
        <w:t>Acompanhar e fiscalizar o cumprimento das obrigações da Contratada, através de comissão/servidor especialmente designado;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</w:rPr>
      </w:pPr>
      <w:r>
        <w:rPr>
          <w:rFonts w:cs="Arial"/>
        </w:rPr>
        <w:t>Efetuar o pagamento à Contratada</w:t>
      </w:r>
      <w:r>
        <w:rPr>
          <w:rFonts w:cs="Arial"/>
          <w:b/>
        </w:rPr>
        <w:t xml:space="preserve"> </w:t>
      </w:r>
      <w:r>
        <w:rPr>
          <w:rFonts w:cs="Arial"/>
        </w:rPr>
        <w:t>no valor correspondente ao fornecimento do objeto, no prazo e forma estabelecidos no Edital e seus anexos;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ind w:hanging="432" w:left="1142" w:right="0"/>
        <w:contextualSpacing w:val="false"/>
        <w:jc w:val="both"/>
        <w:rPr>
          <w:rFonts w:cs="Arial"/>
        </w:rPr>
      </w:pPr>
      <w:r>
        <w:rPr>
          <w:rFonts w:cs="Arial"/>
        </w:rPr>
        <w:t>A Administração não responderá por quaisquer compromissos assumidos pela Contratada com terceiros, ainda que vinculados à execução do presente Termo de Contrato, bem como por qualquer dano causado a terceiros em decorrência de ato da Contratada, de seus empregados, prepostos ou subordinados.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ind w:hanging="432" w:left="1142" w:right="0"/>
        <w:contextualSpacing w:val="false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A Administração realizará pesquisa de preços periodicamente, em prazo não superior a 180 (cento e oitenta) dias, a fim de verificar a vantajosidade dos preços registrados em Ata.</w:t>
      </w:r>
    </w:p>
    <w:p>
      <w:pPr>
        <w:pStyle w:val="style0"/>
        <w:spacing w:after="120" w:before="120" w:line="360" w:lineRule="auto"/>
        <w:ind w:hanging="0" w:left="425" w:right="0"/>
        <w:contextualSpacing w:val="false"/>
        <w:jc w:val="both"/>
        <w:rPr>
          <w:rFonts w:cs="Arial"/>
          <w:color w:val="000000"/>
        </w:rPr>
      </w:pPr>
      <w:r>
        <w:rPr>
          <w:rFonts w:cs="Arial"/>
          <w:color w:val="000000"/>
        </w:rPr>
      </w:r>
    </w:p>
    <w:p>
      <w:pPr>
        <w:pStyle w:val="style0"/>
        <w:spacing w:after="120" w:before="0" w:line="360" w:lineRule="auto"/>
        <w:ind w:hanging="0" w:left="360" w:right="-15"/>
        <w:contextualSpacing w:val="false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</w:r>
    </w:p>
    <w:p>
      <w:pPr>
        <w:pStyle w:val="style0"/>
        <w:numPr>
          <w:ilvl w:val="0"/>
          <w:numId w:val="1"/>
        </w:numPr>
        <w:spacing w:after="120" w:before="0" w:line="360" w:lineRule="auto"/>
        <w:ind w:hanging="360" w:left="360" w:right="-15"/>
        <w:contextualSpacing w:val="false"/>
        <w:jc w:val="both"/>
        <w:rPr>
          <w:rFonts w:cs="Arial"/>
          <w:b/>
        </w:rPr>
      </w:pPr>
      <w:r>
        <w:rPr>
          <w:rFonts w:cs="Arial"/>
          <w:b/>
        </w:rPr>
        <w:t>OBRIGAÇÕES DA CONTRATADA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ind w:hanging="432" w:left="1142" w:right="0"/>
        <w:contextualSpacing w:val="false"/>
        <w:jc w:val="both"/>
        <w:rPr>
          <w:rFonts w:cs="Arial"/>
        </w:rPr>
      </w:pPr>
      <w:r>
        <w:rPr>
          <w:rFonts w:cs="Arial"/>
        </w:rPr>
        <w:t>A Contratada deve cumprir todas as obrigações constantes no Edital, seus anexos e sua proposta, assumindo como exclusivamente seus os riscos e as despesas decorrentes da boa e perfeita execução do objeto e, ainda: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  <w:i/>
          <w:color w:val="000000"/>
        </w:rPr>
      </w:pPr>
      <w:r>
        <w:rPr>
          <w:rFonts w:cs="Arial"/>
        </w:rPr>
        <w:t xml:space="preserve">Efetuar a entrega do objeto em perfeitas condições, conforme </w:t>
      </w:r>
      <w:r>
        <w:rPr>
          <w:rFonts w:cs="Arial"/>
          <w:color w:val="000000"/>
        </w:rPr>
        <w:t xml:space="preserve">especificações, prazo e local constantes no Edital e seus anexos, acompanhado da respectiva nota fiscal, na qual constarão as indicações referentes a: </w:t>
      </w:r>
      <w:r>
        <w:rPr>
          <w:rFonts w:cs="Arial"/>
          <w:i/>
          <w:color w:val="000000"/>
        </w:rPr>
        <w:t>marca, fabricante, modelo, procedência e prazo de garantia ou validade;</w:t>
      </w:r>
    </w:p>
    <w:p>
      <w:pPr>
        <w:pStyle w:val="style0"/>
        <w:numPr>
          <w:ilvl w:val="3"/>
          <w:numId w:val="1"/>
        </w:numPr>
        <w:spacing w:after="120" w:before="120" w:line="360" w:lineRule="auto"/>
        <w:ind w:hanging="648" w:left="1728" w:right="0"/>
        <w:contextualSpacing w:val="false"/>
        <w:jc w:val="both"/>
        <w:rPr>
          <w:rFonts w:cs="Arial"/>
          <w:i/>
          <w:color w:val="000000"/>
        </w:rPr>
      </w:pPr>
      <w:r>
        <w:rPr>
          <w:rFonts w:cs="Arial"/>
          <w:i/>
          <w:color w:val="000000"/>
        </w:rPr>
        <w:t>O objeto que possuírem devem estar acompanhados do manual do usuário, com uma versão em português e da relação da rede de assistência técnica autorizada;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</w:rPr>
      </w:pPr>
      <w:r>
        <w:rPr>
          <w:rFonts w:cs="Arial"/>
        </w:rPr>
        <w:t>Responsabilizar-se pelos vícios e danos decorrentes do objeto, de acordo com os artigos 12, 13 e 17 a 27, do Código de Defesa do Consumidor (Lei nº 8.078, de 1990);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</w:rPr>
      </w:pPr>
      <w:r>
        <w:rPr>
          <w:rFonts w:cs="Arial"/>
        </w:rPr>
        <w:t>Substituir, reparar ou corrigir, às suas expensas, no prazo fixado neste Termo de Referência, o objeto com avarias ou defeitos;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</w:rPr>
      </w:pPr>
      <w:r>
        <w:rPr>
          <w:rFonts w:cs="Arial"/>
        </w:rPr>
        <w:t>Comunicar à Contratante, no prazo máximo de 24 (vinte e quatro) horas que antecede a data da entrega, os motivos que impossibilitem o cumprimento do prazo previsto, com a devida comprovação;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</w:rPr>
      </w:pPr>
      <w:r>
        <w:rPr>
          <w:rFonts w:cs="Arial"/>
        </w:rPr>
        <w:t>Manter, durante toda a execução do contrato, em compatibilidade com as obrigações assumidas, todas as condições de habilitação e qualificação exigidas na licitação;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</w:rPr>
      </w:pPr>
      <w:r>
        <w:rPr>
          <w:rFonts w:cs="Arial"/>
        </w:rPr>
        <w:t>Indicar preposto para representá-la durante a execução do contrato.</w:t>
      </w:r>
    </w:p>
    <w:p>
      <w:pPr>
        <w:pStyle w:val="style0"/>
        <w:spacing w:after="120" w:before="0" w:line="360" w:lineRule="auto"/>
        <w:ind w:hanging="0" w:left="360" w:right="-15"/>
        <w:contextualSpacing w:val="false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</w:r>
    </w:p>
    <w:p>
      <w:pPr>
        <w:pStyle w:val="style0"/>
        <w:numPr>
          <w:ilvl w:val="0"/>
          <w:numId w:val="1"/>
        </w:numPr>
        <w:spacing w:after="120" w:before="120" w:line="360" w:lineRule="auto"/>
        <w:ind w:hanging="360" w:left="360" w:right="0"/>
        <w:contextualSpacing w:val="false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t>DA SUBCONTRATAÇÃO</w:t>
      </w:r>
    </w:p>
    <w:p>
      <w:pPr>
        <w:pStyle w:val="style0"/>
        <w:spacing w:after="120" w:before="120" w:line="360" w:lineRule="auto"/>
        <w:ind w:hanging="0" w:left="425" w:right="0"/>
        <w:contextualSpacing w:val="false"/>
        <w:jc w:val="both"/>
        <w:rPr>
          <w:rFonts w:cs="Arial"/>
          <w:i/>
          <w:color w:val="000000"/>
        </w:rPr>
      </w:pPr>
      <w:r>
        <w:rPr>
          <w:rFonts w:cs="Arial"/>
          <w:i/>
          <w:color w:val="000000"/>
        </w:rPr>
        <w:t>7.1 Não será admitida a subcontratação do objeto licitatório.</w:t>
      </w:r>
    </w:p>
    <w:p>
      <w:pPr>
        <w:pStyle w:val="style0"/>
        <w:spacing w:after="120" w:before="120" w:line="360" w:lineRule="auto"/>
        <w:ind w:hanging="0" w:left="425" w:right="0"/>
        <w:contextualSpacing w:val="false"/>
        <w:jc w:val="both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</w:r>
    </w:p>
    <w:p>
      <w:pPr>
        <w:pStyle w:val="style0"/>
        <w:numPr>
          <w:ilvl w:val="0"/>
          <w:numId w:val="1"/>
        </w:numPr>
        <w:spacing w:after="120" w:before="0" w:line="360" w:lineRule="auto"/>
        <w:ind w:hanging="360" w:left="360" w:right="-15"/>
        <w:contextualSpacing w:val="false"/>
        <w:jc w:val="both"/>
        <w:rPr>
          <w:rFonts w:cs="Arial"/>
          <w:b/>
          <w:color w:val="000000"/>
          <w:lang w:eastAsia="en-US"/>
        </w:rPr>
      </w:pPr>
      <w:r>
        <w:rPr>
          <w:rFonts w:cs="Arial"/>
          <w:b/>
          <w:color w:val="000000"/>
          <w:lang w:eastAsia="en-US"/>
        </w:rPr>
        <w:t>ALTERAÇÃO SUBJETIVA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ind w:hanging="432" w:left="1142" w:right="0"/>
        <w:contextualSpacing w:val="false"/>
        <w:jc w:val="both"/>
        <w:rPr>
          <w:rFonts w:cs="Arial"/>
          <w:lang w:eastAsia="en-US"/>
        </w:rPr>
      </w:pPr>
      <w:r>
        <w:rPr>
          <w:rFonts w:cs="Arial"/>
          <w:lang w:eastAsia="en-US"/>
        </w:rPr>
        <w:t>É admissível a fusão, cisão ou incorporação da contratada com/em outra pessoa jurídica, desde que sejam observados pela nova pessoa jurídica todos os requisitos de habilitação exigidos na licitação original; sejam mantidas as demais cláusulas e condições do contrato; não haja prejuízo à execução do objeto pactuado e haja a anuência expressa da Administração à continuidade do contrato.</w:t>
      </w:r>
    </w:p>
    <w:p>
      <w:pPr>
        <w:pStyle w:val="style0"/>
        <w:spacing w:after="120" w:before="120" w:line="360" w:lineRule="auto"/>
        <w:ind w:hanging="0" w:left="425" w:right="0"/>
        <w:contextualSpacing w:val="false"/>
        <w:jc w:val="both"/>
        <w:rPr>
          <w:rFonts w:cs="Arial"/>
          <w:lang w:eastAsia="en-US"/>
        </w:rPr>
      </w:pPr>
      <w:r>
        <w:rPr>
          <w:rFonts w:cs="Arial"/>
          <w:lang w:eastAsia="en-US"/>
        </w:rPr>
      </w:r>
    </w:p>
    <w:p>
      <w:pPr>
        <w:pStyle w:val="style0"/>
        <w:numPr>
          <w:ilvl w:val="0"/>
          <w:numId w:val="1"/>
        </w:numPr>
        <w:spacing w:after="120" w:before="0" w:line="360" w:lineRule="auto"/>
        <w:ind w:hanging="360" w:left="360" w:right="-15"/>
        <w:contextualSpacing w:val="false"/>
        <w:jc w:val="both"/>
        <w:rPr>
          <w:rFonts w:cs="Arial"/>
          <w:b/>
          <w:color w:val="000000"/>
          <w:lang w:eastAsia="en-US"/>
        </w:rPr>
      </w:pPr>
      <w:r>
        <w:rPr>
          <w:rFonts w:cs="Arial"/>
          <w:b/>
          <w:color w:val="000000"/>
          <w:lang w:eastAsia="en-US"/>
        </w:rPr>
        <w:t>CONTROLE DA EXECUÇÃO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ind w:hanging="432" w:left="1142" w:right="0"/>
        <w:contextualSpacing w:val="false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Nos termos do art. 67 Lei nº 8.666, de 1993, será designado representante para acompanhar e fiscalizar a entrega dos bens, anotando em registro próprio todas as ocorrências relacionadas com a execução e determinando o que for necessário à regularização de falhas ou defeitos observados.</w:t>
      </w:r>
    </w:p>
    <w:p>
      <w:pPr>
        <w:pStyle w:val="style0"/>
        <w:numPr>
          <w:ilvl w:val="2"/>
          <w:numId w:val="1"/>
        </w:numPr>
        <w:spacing w:after="120" w:before="120" w:line="360" w:lineRule="auto"/>
        <w:ind w:hanging="504" w:left="1639" w:right="0"/>
        <w:contextualSpacing w:val="false"/>
        <w:jc w:val="both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t>O recebimento de material de valor superior a R$ 80.000,00 (oitenta mil reais) será confiado a uma comissão de, no mínimo, 3 (três) membros, designados pela autoridade competente.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ind w:hanging="432" w:left="1142" w:right="0"/>
        <w:contextualSpacing w:val="false"/>
        <w:jc w:val="both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t xml:space="preserve">A fiscalização de que trata este item não exclui nem reduz a </w:t>
      </w:r>
      <w:r>
        <w:rPr>
          <w:rFonts w:cs="Arial"/>
          <w:color w:val="000000"/>
        </w:rPr>
        <w:t>responsabilidade</w:t>
      </w:r>
      <w:r>
        <w:rPr>
          <w:rFonts w:cs="Arial"/>
          <w:color w:val="000000"/>
          <w:lang w:eastAsia="en-US"/>
        </w:rPr>
        <w:t xml:space="preserve"> da Contratada, inclusive perante terceiros, por qualquer irregularidade, ainda que resultante de imperfeições técnicas ou vícios redibitórios, e, na ocorrência desta, não implica em co-responsabilidade da Administração ou de seus agentes e prepostos, de conformidade com o art. 70 da Lei nº 8.666, de 1993.</w:t>
      </w:r>
    </w:p>
    <w:p>
      <w:pPr>
        <w:pStyle w:val="style0"/>
        <w:numPr>
          <w:ilvl w:val="1"/>
          <w:numId w:val="1"/>
        </w:numPr>
        <w:spacing w:after="120" w:before="120" w:line="360" w:lineRule="auto"/>
        <w:ind w:hanging="432" w:left="1142" w:right="0"/>
        <w:contextualSpacing w:val="false"/>
        <w:jc w:val="both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t>O representante da Administração anotará em registro próprio todas as ocorrências relacionadas com a execução do contrato, indicando dia, mês e ano, bem como o nome dos funcionários eventualmente envolvidos, determinando o que for necessário à regularização das falhas ou defeitos observados e encaminhando os apontamentos à autoridade competente para as providências cabíveis.</w:t>
      </w:r>
    </w:p>
    <w:p>
      <w:pPr>
        <w:pStyle w:val="style0"/>
        <w:spacing w:after="120" w:before="0" w:line="360" w:lineRule="auto"/>
        <w:ind w:hanging="0" w:left="540" w:right="-17"/>
        <w:contextualSpacing w:val="false"/>
        <w:jc w:val="both"/>
        <w:rPr>
          <w:rFonts w:cs="Arial"/>
          <w:color w:val="000000"/>
        </w:rPr>
      </w:pPr>
      <w:r>
        <w:rPr>
          <w:rFonts w:cs="Arial"/>
          <w:color w:val="000000"/>
        </w:rPr>
      </w:r>
    </w:p>
    <w:p>
      <w:pPr>
        <w:pStyle w:val="style0"/>
        <w:numPr>
          <w:ilvl w:val="0"/>
          <w:numId w:val="1"/>
        </w:numPr>
        <w:spacing w:after="120" w:before="0" w:line="360" w:lineRule="auto"/>
        <w:ind w:hanging="360" w:left="360" w:right="-15"/>
        <w:contextualSpacing w:val="false"/>
        <w:jc w:val="both"/>
        <w:rPr>
          <w:rFonts w:cs="Arial"/>
          <w:b/>
        </w:rPr>
      </w:pPr>
      <w:r>
        <w:rPr>
          <w:rFonts w:cs="Arial"/>
          <w:b/>
        </w:rPr>
        <w:t>DAS SANÇÕES ADMINISTRATIVAS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Em caso de inexecução do contrato, erro de execução, execução imperfeita, mora de execução, inadimplemento contratual ou não veracidade das informações prestadas, a licitante ou a contratada estarão sujeitas às seguintes sanções administrativas, garantida prévia defesa:</w:t>
      </w:r>
    </w:p>
    <w:p>
      <w:pPr>
        <w:pStyle w:val="style0"/>
        <w:tabs>
          <w:tab w:leader="none" w:pos="0" w:val="left"/>
        </w:tabs>
        <w:spacing w:after="227" w:before="0" w:line="360" w:lineRule="auto"/>
        <w:ind w:hanging="14" w:left="0" w:right="0"/>
        <w:contextualSpacing w:val="false"/>
        <w:rPr>
          <w:rFonts w:cs="Arial"/>
        </w:rPr>
      </w:pPr>
      <w:r>
        <w:rPr>
          <w:rFonts w:cs="Arial" w:eastAsia="Arial"/>
        </w:rPr>
        <w:t xml:space="preserve">a) </w:t>
      </w:r>
      <w:r>
        <w:rPr>
          <w:rFonts w:cs="Arial"/>
        </w:rPr>
        <w:t>Advertência por</w:t>
      </w:r>
      <w:r>
        <w:rPr>
          <w:rFonts w:cs="Arial" w:eastAsia="Verdana"/>
        </w:rPr>
        <w:t xml:space="preserve"> </w:t>
      </w:r>
      <w:r>
        <w:rPr>
          <w:rFonts w:cs="Arial"/>
        </w:rPr>
        <w:t>escrito,</w:t>
      </w:r>
      <w:r>
        <w:rPr>
          <w:rFonts w:cs="Arial" w:eastAsia="Verdana"/>
        </w:rPr>
        <w:t xml:space="preserve"> </w:t>
      </w:r>
      <w:r>
        <w:rPr>
          <w:rFonts w:cs="Arial"/>
        </w:rPr>
        <w:t>especificando</w:t>
      </w:r>
      <w:r>
        <w:rPr>
          <w:rFonts w:cs="Arial" w:eastAsia="Verdana"/>
        </w:rPr>
        <w:t xml:space="preserve"> </w:t>
      </w:r>
      <w:r>
        <w:rPr>
          <w:rFonts w:cs="Arial"/>
        </w:rPr>
        <w:t>todas</w:t>
      </w:r>
      <w:r>
        <w:rPr>
          <w:rFonts w:cs="Arial" w:eastAsia="Verdana"/>
        </w:rPr>
        <w:t xml:space="preserve"> </w:t>
      </w:r>
      <w:r>
        <w:rPr>
          <w:rFonts w:cs="Arial"/>
        </w:rPr>
        <w:t>as</w:t>
      </w:r>
      <w:r>
        <w:rPr>
          <w:rFonts w:cs="Arial" w:eastAsia="Verdana"/>
        </w:rPr>
        <w:t xml:space="preserve"> </w:t>
      </w:r>
      <w:r>
        <w:rPr>
          <w:rFonts w:cs="Arial"/>
        </w:rPr>
        <w:t>pendências</w:t>
      </w:r>
      <w:r>
        <w:rPr>
          <w:rFonts w:cs="Arial" w:eastAsia="Verdana"/>
        </w:rPr>
        <w:t xml:space="preserve"> </w:t>
      </w:r>
      <w:r>
        <w:rPr>
          <w:rFonts w:cs="Arial"/>
        </w:rPr>
        <w:t>relacionadas</w:t>
      </w:r>
      <w:r>
        <w:rPr>
          <w:rFonts w:cs="Arial" w:eastAsia="Verdana"/>
        </w:rPr>
        <w:t xml:space="preserve"> </w:t>
      </w:r>
      <w:r>
        <w:rPr>
          <w:rFonts w:cs="Arial"/>
        </w:rPr>
        <w:t>ao</w:t>
      </w:r>
      <w:r>
        <w:rPr>
          <w:rFonts w:cs="Arial" w:eastAsia="Verdana"/>
        </w:rPr>
        <w:t xml:space="preserve"> </w:t>
      </w:r>
      <w:r>
        <w:rPr>
          <w:rFonts w:cs="Arial"/>
        </w:rPr>
        <w:t>Contrato,</w:t>
      </w:r>
      <w:r>
        <w:rPr>
          <w:rFonts w:cs="Arial" w:eastAsia="Verdana"/>
        </w:rPr>
        <w:t xml:space="preserve"> </w:t>
      </w:r>
      <w:r>
        <w:rPr>
          <w:rFonts w:cs="Arial"/>
        </w:rPr>
        <w:t>sendo</w:t>
      </w:r>
      <w:r>
        <w:rPr>
          <w:rFonts w:cs="Arial" w:eastAsia="Verdana"/>
        </w:rPr>
        <w:t xml:space="preserve"> </w:t>
      </w:r>
      <w:r>
        <w:rPr>
          <w:rFonts w:cs="Arial"/>
        </w:rPr>
        <w:t>que</w:t>
      </w:r>
      <w:r>
        <w:rPr>
          <w:rFonts w:cs="Arial" w:eastAsia="Verdana"/>
        </w:rPr>
        <w:t xml:space="preserve"> </w:t>
      </w:r>
      <w:r>
        <w:rPr>
          <w:rFonts w:cs="Arial"/>
        </w:rPr>
        <w:t>a</w:t>
      </w:r>
      <w:r>
        <w:rPr>
          <w:rFonts w:cs="Arial" w:eastAsia="Verdana"/>
        </w:rPr>
        <w:t xml:space="preserve"> </w:t>
      </w:r>
      <w:r>
        <w:rPr>
          <w:rFonts w:cs="Arial"/>
        </w:rPr>
        <w:t>Administração</w:t>
      </w:r>
      <w:r>
        <w:rPr>
          <w:rFonts w:cs="Arial" w:eastAsia="Verdana"/>
        </w:rPr>
        <w:t xml:space="preserve"> </w:t>
      </w:r>
      <w:r>
        <w:rPr>
          <w:rFonts w:cs="Arial"/>
        </w:rPr>
        <w:t>estipulará</w:t>
      </w:r>
      <w:r>
        <w:rPr>
          <w:rFonts w:cs="Arial" w:eastAsia="Verdana"/>
        </w:rPr>
        <w:t xml:space="preserve"> </w:t>
      </w:r>
      <w:r>
        <w:rPr>
          <w:rFonts w:cs="Arial"/>
        </w:rPr>
        <w:t>prazo</w:t>
      </w:r>
      <w:r>
        <w:rPr>
          <w:rFonts w:cs="Arial" w:eastAsia="Verdana"/>
        </w:rPr>
        <w:t xml:space="preserve"> </w:t>
      </w:r>
      <w:r>
        <w:rPr>
          <w:rFonts w:cs="Arial"/>
        </w:rPr>
        <w:t>para</w:t>
      </w:r>
      <w:r>
        <w:rPr>
          <w:rFonts w:cs="Arial" w:eastAsia="Verdana"/>
        </w:rPr>
        <w:t xml:space="preserve"> </w:t>
      </w:r>
      <w:r>
        <w:rPr>
          <w:rFonts w:cs="Arial"/>
        </w:rPr>
        <w:t>a</w:t>
      </w:r>
      <w:r>
        <w:rPr>
          <w:rFonts w:cs="Arial" w:eastAsia="Verdana"/>
        </w:rPr>
        <w:t xml:space="preserve"> </w:t>
      </w:r>
      <w:r>
        <w:rPr>
          <w:rFonts w:cs="Arial"/>
        </w:rPr>
        <w:t>resolução</w:t>
      </w:r>
      <w:r>
        <w:rPr>
          <w:rFonts w:cs="Arial" w:eastAsia="Verdana"/>
        </w:rPr>
        <w:t xml:space="preserve"> </w:t>
      </w:r>
      <w:r>
        <w:rPr>
          <w:rFonts w:cs="Arial"/>
        </w:rPr>
        <w:t>das</w:t>
      </w:r>
      <w:r>
        <w:rPr>
          <w:rFonts w:cs="Arial" w:eastAsia="Verdana"/>
        </w:rPr>
        <w:t xml:space="preserve"> </w:t>
      </w:r>
      <w:r>
        <w:rPr>
          <w:rFonts w:cs="Arial"/>
        </w:rPr>
        <w:t>mesmas;</w:t>
      </w:r>
    </w:p>
    <w:p>
      <w:pPr>
        <w:pStyle w:val="style0"/>
        <w:tabs>
          <w:tab w:leader="none" w:pos="0" w:val="left"/>
        </w:tabs>
        <w:spacing w:after="227" w:before="0" w:line="360" w:lineRule="auto"/>
        <w:ind w:hanging="14" w:left="0" w:right="0"/>
        <w:contextualSpacing w:val="false"/>
        <w:rPr>
          <w:rFonts w:cs="Arial"/>
        </w:rPr>
      </w:pPr>
      <w:r>
        <w:rPr>
          <w:rFonts w:cs="Arial" w:eastAsia="Arial"/>
        </w:rPr>
        <w:t xml:space="preserve">b) </w:t>
      </w:r>
      <w:r>
        <w:rPr>
          <w:rFonts w:cs="Arial"/>
        </w:rPr>
        <w:t>Multas (que poderão ser recolhidas em qualquer agência integrante da Rede Arrecadadora de Receitas Federais, por meio de Guia de Recolhimento da União - GRU, a ser preenchida de acordo com as instruções fornecidas pela contratante) no máximo de 10(dez)% do valor total do contrato.</w:t>
      </w:r>
    </w:p>
    <w:p>
      <w:pPr>
        <w:pStyle w:val="style0"/>
        <w:tabs>
          <w:tab w:leader="none" w:pos="0" w:val="left"/>
        </w:tabs>
        <w:spacing w:after="227" w:before="0" w:line="360" w:lineRule="auto"/>
        <w:ind w:hanging="14" w:left="0" w:right="0"/>
        <w:contextualSpacing w:val="false"/>
        <w:rPr>
          <w:rFonts w:cs="Arial"/>
        </w:rPr>
      </w:pPr>
      <w:r>
        <w:rPr>
          <w:rFonts w:cs="Arial" w:eastAsia="Arial"/>
        </w:rPr>
        <w:t xml:space="preserve">c) </w:t>
      </w:r>
      <w:r>
        <w:rPr>
          <w:rFonts w:cs="Arial"/>
        </w:rPr>
        <w:t>Impedimento de licitar e contratar com a União, com o consequente descredenciamento do SICAF pelo prazo de até cinco anos, sem prejuízo das multas previstas no edital e no contrato e das demais cominações legais, para a licitante que, convocada dentro do prazo de validade de sua proposta, não assinar o contrato, deixar de entregar documentação exigida no edital, apresentar documentação falsa, ensejar o retardamento da execução de seu objeto, não mantiver a proposta, falhar ou fraudar na execução do contrato, comportar-se de modo inidôneo, fizer declaração falsa ou cometer fraude fiscal, garantido o direito à ampla defesa.</w:t>
      </w:r>
    </w:p>
    <w:p>
      <w:pPr>
        <w:pStyle w:val="style0"/>
        <w:tabs>
          <w:tab w:leader="none" w:pos="0" w:val="left"/>
        </w:tabs>
        <w:spacing w:after="227" w:before="0" w:line="360" w:lineRule="auto"/>
        <w:ind w:hanging="14" w:left="0" w:right="0"/>
        <w:contextualSpacing w:val="false"/>
        <w:rPr>
          <w:rFonts w:cs="Arial"/>
        </w:rPr>
      </w:pPr>
      <w:r>
        <w:rPr>
          <w:rFonts w:cs="Arial" w:eastAsia="Arial"/>
        </w:rPr>
        <w:t xml:space="preserve">d) </w:t>
      </w:r>
      <w:r>
        <w:rPr>
          <w:rFonts w:cs="Arial"/>
        </w:rPr>
        <w:t>No processo de aplicação de sanções, é assegurado o direito ao contraditório e à ampla defesa, facultada a defesa prévia à interessada no prazo de 5 (cinco) dias úteis contados da respectiva intimação.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O contratado que cometer qualquer infrações ficará sujeito, sem prejuízo da responsabilidade civil e criminal, às sanções calculadas sob os seguintes critérios base de cálculos.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Essa metodologia tem o objetivo de padronizar, por meio de critérios pré-estabelecidos, a dosimetria adotada nos cálculos de sanções decorrentes das condutas irregulares no decorrer da execução contratual.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Para definição da dosimetria a ser adotada nos processos de sanção aos quais essa metodologia será aplicada, cada critério definido corresponde a um peso numérico. O somatório dos pesos obtidos deve ser aplicado a matriz de correspondência, resultando no percentual de multa e período de impedimento de licitar e contratar com a Administração a serem aplicados.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Para a realização dos cálculos objeto desta metodologia serão observadas suas categorias de critérios, quais sejam:</w:t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Categoria de Critérios Gerais: contempla 6(seis) critérios distintos, inerentes as características da contratação/aquisição;</w:t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Categoria de Critérios Específicos: contempla 10(dez) critérios distintos, relacionados à ação da conduta irregular da licitante durante a sessão pública do Pregão Eletrônico, estendendo-se até a fase de assinatura do instrumento contratual ou equivalente.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Critérios Gerais:</w:t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Valor estimado da contratação: o valor estimado da contratação foi dividido em 5(cinco) gradações, cada uma com um peso distinto:</w:t>
      </w:r>
    </w:p>
    <w:p>
      <w:pPr>
        <w:pStyle w:val="style0"/>
        <w:spacing w:after="120" w:before="120" w:line="360" w:lineRule="auto"/>
        <w:ind w:hanging="0" w:left="425" w:right="0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</w:r>
    </w:p>
    <w:p>
      <w:pPr>
        <w:pStyle w:val="style65"/>
        <w:numPr>
          <w:ilvl w:val="0"/>
          <w:numId w:val="4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Até R$ 80.000,00: peso 2(dois);</w:t>
      </w:r>
    </w:p>
    <w:p>
      <w:pPr>
        <w:pStyle w:val="style65"/>
        <w:numPr>
          <w:ilvl w:val="0"/>
          <w:numId w:val="4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De R$ 80.000,01 até R$ 500.000,00: peso 3(três);</w:t>
      </w:r>
    </w:p>
    <w:p>
      <w:pPr>
        <w:pStyle w:val="style65"/>
        <w:numPr>
          <w:ilvl w:val="0"/>
          <w:numId w:val="4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De R$ 500.000,01 até R$ 1.000.000,00: peso 5(cinco);</w:t>
      </w:r>
    </w:p>
    <w:p>
      <w:pPr>
        <w:pStyle w:val="style65"/>
        <w:numPr>
          <w:ilvl w:val="0"/>
          <w:numId w:val="4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De R$ 1.000.000,01 até 10.000.000,00: peso 7(sete);</w:t>
      </w:r>
    </w:p>
    <w:p>
      <w:pPr>
        <w:pStyle w:val="style65"/>
        <w:numPr>
          <w:ilvl w:val="0"/>
          <w:numId w:val="4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Acima de R$ 10.000.000,01: peso 9(nove).</w:t>
      </w:r>
    </w:p>
    <w:p>
      <w:pPr>
        <w:pStyle w:val="style0"/>
        <w:spacing w:after="120" w:before="120" w:line="360" w:lineRule="auto"/>
        <w:ind w:hanging="0" w:left="425" w:right="0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ab/>
        <w:t>Porte da Empresa licitante ME/EPP: empresas enquadradas como ME/EPP, na ocasião do certame, recebem atenuante de peso “-5”( cinco negativo);</w:t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Mão de Obra dedicada: as contratações que envolvem mão de obra dedicada recebem o peso 7(sete);</w:t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Previsão de vigência contratual em meses: consideram-se para definição do peso em relação ao período da vigência contratual, que:</w:t>
      </w:r>
    </w:p>
    <w:p>
      <w:pPr>
        <w:pStyle w:val="style0"/>
        <w:spacing w:after="120" w:before="120" w:line="360" w:lineRule="auto"/>
        <w:ind w:hanging="0" w:left="425" w:right="0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</w:r>
    </w:p>
    <w:p>
      <w:pPr>
        <w:pStyle w:val="style65"/>
        <w:numPr>
          <w:ilvl w:val="0"/>
          <w:numId w:val="5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Cada mês de vigência corresponde ao peso de 0,12(doze centésimas);</w:t>
      </w:r>
    </w:p>
    <w:p>
      <w:pPr>
        <w:pStyle w:val="style65"/>
        <w:numPr>
          <w:ilvl w:val="0"/>
          <w:numId w:val="5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Contratações de pronta entrega: peso 0,12(doze centésimas) correspondente ao valor de 1(um) mês de vigência;</w:t>
      </w:r>
    </w:p>
    <w:p>
      <w:pPr>
        <w:pStyle w:val="style65"/>
        <w:numPr>
          <w:ilvl w:val="0"/>
          <w:numId w:val="5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Demais contratações multiplica-se o número de meses previstos para a vigência contratual pelo peso 0,12(doze centésimas).</w:t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Fator de reincidência: o peso é de 5(cinco) multiplicado pela quantidade de processos em que a licitante foi apenada perante a União. Para contabilização deste item, deve-se considerar os registros no SICAF, exclusivamente aqueles em que a empresa incorreu em conduta irregular durante os certames, desconsiderando as ocorrências decorrentes de outras fases da contratação.</w:t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Fator relevante: demais ocorrências que possam ser consideradas pelo pregoeiro, tanto para agravar quanto para atenuar o cálculo de dosimetria, devem ser descritas como fator relevante, bem como suas justificativas inseridas nos autos. O peso a ser definido para esse item compreende a escala de “ -10 A 10”.</w:t>
      </w:r>
    </w:p>
    <w:p>
      <w:pPr>
        <w:pStyle w:val="style0"/>
        <w:spacing w:after="120" w:before="120" w:line="360" w:lineRule="auto"/>
        <w:ind w:hanging="0" w:left="425" w:right="0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Critérios Específicos:</w:t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Para definição dos pesos relacionado aos critérios específicos deve ser utilizada a “Tabela de Critérios Específicos” abaixo, sendo possível a ocorrência de enquadramento em mais de um critério específico para o mesmo certame.</w:t>
      </w:r>
    </w:p>
    <w:tbl>
      <w:tblPr>
        <w:jc w:val="left"/>
        <w:tblInd w:type="dxa" w:w="20"/>
        <w:tblBorders>
          <w:top w:color="000001" w:space="0" w:sz="6" w:val="single"/>
          <w:left w:color="000001" w:space="0" w:sz="6" w:val="single"/>
          <w:bottom w:color="000001" w:space="0" w:sz="6" w:val="single"/>
          <w:insideH w:color="000001" w:space="0" w:sz="6" w:val="single"/>
          <w:right w:color="000001" w:space="0" w:sz="6" w:val="single"/>
          <w:insideV w:color="000001" w:space="0" w:sz="6" w:val="single"/>
        </w:tblBorders>
        <w:tblCellMar>
          <w:top w:type="dxa" w:w="30"/>
          <w:left w:type="dxa" w:w="21"/>
          <w:bottom w:type="dxa" w:w="30"/>
          <w:right w:type="dxa" w:w="45"/>
        </w:tblCellMar>
      </w:tblPr>
      <w:tblGrid>
        <w:gridCol w:w="5974"/>
        <w:gridCol w:w="2546"/>
        <w:gridCol w:w="641"/>
      </w:tblGrid>
      <w:tr>
        <w:trPr>
          <w:trHeight w:hRule="atLeast" w:val="315"/>
          <w:cantSplit w:val="false"/>
        </w:trPr>
        <w:tc>
          <w:tcPr>
            <w:tcW w:type="dxa" w:w="5974"/>
            <w:tcBorders>
              <w:top w:color="000001" w:space="0" w:sz="6" w:val="single"/>
              <w:left w:color="000001" w:space="0" w:sz="6" w:val="single"/>
              <w:bottom w:color="000001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Critérios Específicos </w:t>
            </w:r>
          </w:p>
        </w:tc>
        <w:tc>
          <w:tcPr>
            <w:tcW w:type="dxa" w:w="2546"/>
            <w:tcBorders>
              <w:top w:color="000001" w:space="0" w:sz="6" w:val="single"/>
              <w:left w:color="CCCCCC" w:space="0" w:sz="6" w:val="single"/>
              <w:bottom w:color="000001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Conduta Irregular </w:t>
            </w:r>
          </w:p>
        </w:tc>
        <w:tc>
          <w:tcPr>
            <w:tcW w:type="dxa" w:w="641"/>
            <w:tcBorders>
              <w:top w:color="000001" w:space="0" w:sz="6" w:val="single"/>
              <w:left w:color="CCCCCC" w:space="0" w:sz="6" w:val="single"/>
              <w:bottom w:color="000001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Peso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5974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center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Não entregar  no prazo previsto</w:t>
            </w:r>
          </w:p>
        </w:tc>
        <w:tc>
          <w:tcPr>
            <w:tcW w:type="dxa" w:w="2546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Atraso injustificado na execução do contrato</w:t>
            </w:r>
          </w:p>
        </w:tc>
        <w:tc>
          <w:tcPr>
            <w:tcW w:type="dxa" w:w="641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"40"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5974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center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Deixar de apresentar a nota fiscal juntamente aos documentos exigidos no edital e termo de referência no prazo estipulado</w:t>
            </w:r>
          </w:p>
        </w:tc>
        <w:tc>
          <w:tcPr>
            <w:tcW w:type="dxa" w:w="2546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Inexecução total ou parcial do contrato</w:t>
            </w:r>
          </w:p>
        </w:tc>
        <w:tc>
          <w:tcPr>
            <w:tcW w:type="dxa" w:w="641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"30"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5974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center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Não realizar a substituição/troca de materiais e/ou equipamentos nos prazos estipulados.</w:t>
            </w:r>
          </w:p>
        </w:tc>
        <w:tc>
          <w:tcPr>
            <w:tcW w:type="dxa" w:w="2546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Inexecução total ou parcial do contrato</w:t>
            </w:r>
          </w:p>
        </w:tc>
        <w:tc>
          <w:tcPr>
            <w:tcW w:type="dxa" w:w="641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"20"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5974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center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Reincidência de qualquer das ocorrências anteriores no prazo de 3(três) meses</w:t>
            </w:r>
          </w:p>
        </w:tc>
        <w:tc>
          <w:tcPr>
            <w:tcW w:type="dxa" w:w="2546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Inexecução total ou parcial do contrato</w:t>
            </w:r>
          </w:p>
        </w:tc>
        <w:tc>
          <w:tcPr>
            <w:tcW w:type="dxa" w:w="641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"40"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5974"/>
            <w:tcBorders>
              <w:top w:color="CCCCCC" w:space="0" w:sz="6" w:val="single"/>
              <w:left w:color="000001" w:space="0" w:sz="6" w:val="single"/>
              <w:bottom w:color="000001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center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Não manter a habilitação prevista no edital</w:t>
            </w:r>
          </w:p>
        </w:tc>
        <w:tc>
          <w:tcPr>
            <w:tcW w:type="dxa" w:w="2546"/>
            <w:tcBorders>
              <w:top w:color="CCCCCC" w:space="0" w:sz="6" w:val="single"/>
              <w:left w:color="CCCCCC" w:space="0" w:sz="6" w:val="single"/>
              <w:bottom w:color="000001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Inexecução total ou parcial do contrato</w:t>
            </w:r>
          </w:p>
        </w:tc>
        <w:tc>
          <w:tcPr>
            <w:tcW w:type="dxa" w:w="641"/>
            <w:tcBorders>
              <w:top w:color="CCCCCC" w:space="0" w:sz="6" w:val="single"/>
              <w:left w:color="CCCCCC" w:space="0" w:sz="6" w:val="single"/>
              <w:bottom w:color="000001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"19"</w:t>
            </w:r>
          </w:p>
        </w:tc>
      </w:tr>
    </w:tbl>
    <w:p>
      <w:pPr>
        <w:pStyle w:val="style0"/>
        <w:spacing w:after="120" w:before="120" w:line="360" w:lineRule="auto"/>
        <w:ind w:hanging="0" w:left="425" w:right="0"/>
        <w:contextualSpacing w:val="false"/>
        <w:jc w:val="both"/>
        <w:rPr>
          <w:rFonts w:cs="Arial"/>
        </w:rPr>
      </w:pPr>
      <w:r>
        <w:rPr>
          <w:rFonts w:cs="Arial"/>
        </w:rPr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Procedimentos para realização dos cálculos:</w:t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O responsável pela elaboração dos cálculos de dosimetria de sanção deverá, com base na documentação do certame, calcular os pesos relacionados a cada um dos critérios gerais e específicos relacionados nesta metodologia.</w:t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Após a definição dos pesos para cada critério, deverá ser realizado o somatório de todos os pesos e aplicados a “Tabela de Correspondência- Peso x Sanções”, obtendo-se o percentual de multa e o prazo para impedimento de licitar e contratar com a Administração.</w:t>
      </w:r>
    </w:p>
    <w:tbl>
      <w:tblPr>
        <w:jc w:val="left"/>
        <w:tblInd w:type="dxa" w:w="20"/>
        <w:tblBorders>
          <w:top w:color="000001" w:space="0" w:sz="6" w:val="single"/>
          <w:left w:color="000001" w:space="0" w:sz="6" w:val="single"/>
          <w:bottom w:color="000001" w:space="0" w:sz="6" w:val="single"/>
          <w:insideH w:color="000001" w:space="0" w:sz="6" w:val="single"/>
          <w:right w:color="000001" w:space="0" w:sz="6" w:val="single"/>
          <w:insideV w:color="000001" w:space="0" w:sz="6" w:val="single"/>
        </w:tblBorders>
        <w:tblCellMar>
          <w:top w:type="dxa" w:w="30"/>
          <w:left w:type="dxa" w:w="21"/>
          <w:bottom w:type="dxa" w:w="30"/>
          <w:right w:type="dxa" w:w="45"/>
        </w:tblCellMar>
      </w:tblPr>
      <w:tblGrid>
        <w:gridCol w:w="1813"/>
        <w:gridCol w:w="3153"/>
        <w:gridCol w:w="2329"/>
      </w:tblGrid>
      <w:tr>
        <w:trPr>
          <w:trHeight w:hRule="atLeast" w:val="315"/>
          <w:cantSplit w:val="false"/>
        </w:trPr>
        <w:tc>
          <w:tcPr>
            <w:tcW w:type="dxa" w:w="1813"/>
            <w:tcBorders>
              <w:top w:color="000001" w:space="0" w:sz="6" w:val="single"/>
              <w:left w:color="000001" w:space="0" w:sz="6" w:val="single"/>
              <w:bottom w:color="000001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Graduação (peso)</w:t>
            </w:r>
          </w:p>
        </w:tc>
        <w:tc>
          <w:tcPr>
            <w:tcW w:type="dxa" w:w="3153"/>
            <w:tcBorders>
              <w:top w:color="000001" w:space="0" w:sz="6" w:val="single"/>
              <w:left w:color="CCCCCC" w:space="0" w:sz="6" w:val="single"/>
              <w:bottom w:color="000001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Multa (%)</w:t>
            </w:r>
          </w:p>
        </w:tc>
        <w:tc>
          <w:tcPr>
            <w:tcW w:type="dxa" w:w="2329"/>
            <w:tcBorders>
              <w:top w:color="000001" w:space="0" w:sz="6" w:val="single"/>
              <w:left w:color="CCCCCC" w:space="0" w:sz="6" w:val="single"/>
              <w:bottom w:color="000001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Impedimentos (meses)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-10 a 6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1/10 do valor máximo da multa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0,5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6 a 11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2/10 do valor máximo da multa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11 a 16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3/10 do valor máximo da multa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1,5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16 a 21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4/10 do valor máximo da multa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21 a 26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5/10 do valor máximo da multa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2,5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26 a 31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6/10 do valor máximo da multa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31 a 36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7/10 do valor máximo da multa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3,5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36 a 41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8/10 do valor máximo da multa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41 a 46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9/10 do valor máximo da multa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4,5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46 a 51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51 a 56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56 a 61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61 a 66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66 a 71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71 a 76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16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76 a 81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81 a 86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30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86 a 91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40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91 a 96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50</w:t>
            </w:r>
          </w:p>
        </w:tc>
      </w:tr>
      <w:tr>
        <w:trPr>
          <w:trHeight w:hRule="atLeast" w:val="315"/>
          <w:cantSplit w:val="false"/>
        </w:trPr>
        <w:tc>
          <w:tcPr>
            <w:tcW w:type="dxa" w:w="1813"/>
            <w:tcBorders>
              <w:top w:color="CCCCCC" w:space="0" w:sz="6" w:val="single"/>
              <w:left w:color="000001" w:space="0" w:sz="6" w:val="single"/>
              <w:bottom w:color="000001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>acima de 96</w:t>
            </w:r>
          </w:p>
        </w:tc>
        <w:tc>
          <w:tcPr>
            <w:tcW w:type="dxa" w:w="3153"/>
            <w:tcBorders>
              <w:top w:color="CCCCCC" w:space="0" w:sz="6" w:val="single"/>
              <w:left w:color="CCCCCC" w:space="0" w:sz="6" w:val="single"/>
              <w:bottom w:color="000001" w:space="0" w:sz="6" w:val="single"/>
              <w:right w:color="CCCCCC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type="dxa" w:w="2329"/>
            <w:tcBorders>
              <w:top w:color="CCCCCC" w:space="0" w:sz="6" w:val="single"/>
              <w:left w:color="CCCCCC" w:space="0" w:sz="6" w:val="single"/>
              <w:bottom w:color="000001" w:space="0" w:sz="6" w:val="single"/>
              <w:right w:color="000001" w:space="0" w:sz="6" w:val="single"/>
            </w:tcBorders>
            <w:shd w:fill="FFFFFF" w:val="clear"/>
            <w:tcMar>
              <w:left w:type="dxa" w:w="21"/>
            </w:tcMar>
            <w:vAlign w:val="bottom"/>
          </w:tcPr>
          <w:p>
            <w:pPr>
              <w:pStyle w:val="style0"/>
              <w:spacing w:after="170" w:before="227" w:line="360" w:lineRule="auto"/>
              <w:contextualSpacing w:val="false"/>
              <w:jc w:val="right"/>
              <w:rPr>
                <w:rFonts w:cs="Arial"/>
              </w:rPr>
            </w:pPr>
            <w:r>
              <w:rPr>
                <w:rFonts w:cs="Arial"/>
              </w:rPr>
              <w:t>60</w:t>
            </w:r>
          </w:p>
        </w:tc>
      </w:tr>
    </w:tbl>
    <w:p>
      <w:pPr>
        <w:pStyle w:val="style0"/>
        <w:tabs>
          <w:tab w:leader="none" w:pos="0" w:val="left"/>
        </w:tabs>
        <w:spacing w:after="227" w:before="0" w:line="360" w:lineRule="auto"/>
        <w:ind w:hanging="14" w:left="0" w:right="0"/>
        <w:contextualSpacing w:val="false"/>
        <w:rPr>
          <w:rFonts w:cs="Arial"/>
        </w:rPr>
      </w:pPr>
      <w:r>
        <w:rPr>
          <w:rFonts w:cs="Arial"/>
        </w:rPr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Para fins de conversão de meses em dias, quando necessário, será considerado:</w:t>
      </w:r>
    </w:p>
    <w:p>
      <w:pPr>
        <w:pStyle w:val="style65"/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1(um) mês = 30(trinta) dias;</w:t>
      </w:r>
    </w:p>
    <w:p>
      <w:pPr>
        <w:pStyle w:val="style65"/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0,5(zero vírgula cinco) mês = 15(quinze) dias;</w:t>
      </w:r>
    </w:p>
    <w:p>
      <w:pPr>
        <w:pStyle w:val="style65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  <w:shd w:fill="FFFFFF" w:val="clear"/>
        </w:rPr>
      </w:pPr>
      <w:r>
        <w:rPr>
          <w:rFonts w:cs="Arial"/>
          <w:shd w:fill="FFFFFF" w:val="clear"/>
        </w:rPr>
        <w:t>Considera-se valor máximo da multa 10%(dez por cento) do item contratado.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O valor de multa deverá ter no máximo 2(duas) casas decimais, realizando-se o arredondamento quando necessário.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As sanções serão obrigatoriamente registradas no SICAF, e no caso de impedimento de licitar e contratar com a União, a licitante será descadastrada por igual período, sem prejuízo das multas previstas neste edital e das demais cominações legais.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O valor das multas aplicadas deverá ser recolhido no prazo de 5 (cinco) dias, a contar da data da notificação. Se o valor da multa não for pago, ou depositado, será automaticamente descontado da garantia ou do pagamento a que a contratada fizer jus. Em caso de inexistência ou insuficiência de crédito da contratada, o valor devido será cobrado administrativamente e/ou judicialmente.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As sanções previstas poderão ser aplicadas concomitantemente.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Também ficam sujeitas às penalidades do art. 87, III e IV da Lei nº 8.666, de 1993, as empresas e os profissionais que:</w:t>
      </w:r>
    </w:p>
    <w:p>
      <w:pPr>
        <w:pStyle w:val="style0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Tenham sofrido condenação definitiva por praticar, por meio dolosos, fraude fiscal no recolhimento de quaisquer tributos;</w:t>
      </w:r>
    </w:p>
    <w:p>
      <w:pPr>
        <w:pStyle w:val="style0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Tenham praticado atos ilícitos visando a frustrar os objetivos da licitação;</w:t>
      </w:r>
    </w:p>
    <w:p>
      <w:pPr>
        <w:pStyle w:val="style0"/>
        <w:numPr>
          <w:ilvl w:val="2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Demonstrem não possuir idoneidade para contratar com a Administração em virtude de atos ilícitos praticados.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A aplicação de qualquer das penalidades previstas realizar-se-á em processo administrativo que assegurará o contraditório e a ampla defesa à Contratada, observando-se o procedimento previsto na Lei nº 8.666, de 1993, e subsidiariamente a Lei nº 9.784, de 1999.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A autoridade competente, na aplicação das sanções, levará em consideração a gravidade da conduta do infrator, o caráter educativo da pena, bem como o dano causado à Administração, observado o princípio da proporcionalidade.</w:t>
      </w:r>
    </w:p>
    <w:p>
      <w:pPr>
        <w:pStyle w:val="style65"/>
        <w:numPr>
          <w:ilvl w:val="1"/>
          <w:numId w:val="3"/>
        </w:numPr>
        <w:spacing w:after="120" w:before="120" w:line="360" w:lineRule="auto"/>
        <w:contextualSpacing w:val="false"/>
        <w:jc w:val="both"/>
        <w:rPr>
          <w:rFonts w:cs="Arial"/>
        </w:rPr>
      </w:pPr>
      <w:r>
        <w:rPr>
          <w:rFonts w:cs="Arial"/>
        </w:rPr>
        <w:t>As penalidades serão obrigatoriamente registradas no SICAF.</w:t>
      </w:r>
    </w:p>
    <w:p>
      <w:pPr>
        <w:pStyle w:val="style65"/>
        <w:spacing w:after="120" w:before="120" w:line="360" w:lineRule="auto"/>
        <w:ind w:hanging="0" w:left="420" w:right="0"/>
        <w:contextualSpacing w:val="false"/>
        <w:jc w:val="both"/>
        <w:rPr>
          <w:rFonts w:cs="Arial"/>
        </w:rPr>
      </w:pPr>
      <w:r>
        <w:rPr>
          <w:rFonts w:cs="Arial"/>
        </w:rPr>
      </w:r>
    </w:p>
    <w:p>
      <w:pPr>
        <w:pStyle w:val="style0"/>
        <w:spacing w:after="360" w:before="0" w:line="360" w:lineRule="auto"/>
        <w:ind w:hanging="0" w:left="420" w:right="0"/>
        <w:contextualSpacing w:val="false"/>
        <w:jc w:val="center"/>
        <w:rPr>
          <w:rFonts w:cs="Arial"/>
          <w:b w:val="false"/>
          <w:bCs w:val="false"/>
          <w:color w:val="000000"/>
        </w:rPr>
      </w:pPr>
      <w:r>
        <w:rPr>
          <w:rFonts w:cs="Arial"/>
          <w:b w:val="false"/>
          <w:bCs w:val="false"/>
          <w:color w:val="000000"/>
        </w:rPr>
        <w:t xml:space="preserve">Júlio de Castilhos, 14 de </w:t>
      </w:r>
      <w:bookmarkStart w:id="0" w:name="_GoBack"/>
      <w:bookmarkEnd w:id="0"/>
      <w:r>
        <w:rPr>
          <w:rFonts w:cs="Arial"/>
          <w:b w:val="false"/>
          <w:bCs w:val="false"/>
          <w:color w:val="000000"/>
        </w:rPr>
        <w:t>dezembro de 2018.</w:t>
      </w:r>
    </w:p>
    <w:p>
      <w:pPr>
        <w:pStyle w:val="style0"/>
        <w:spacing w:after="360" w:before="0" w:line="360" w:lineRule="auto"/>
        <w:ind w:hanging="0" w:left="420" w:right="0"/>
        <w:contextualSpacing w:val="false"/>
        <w:jc w:val="center"/>
        <w:rPr>
          <w:rFonts w:cs="Arial"/>
        </w:rPr>
      </w:pPr>
      <w:r>
        <w:rPr>
          <w:rFonts w:cs="Arial"/>
        </w:rPr>
        <w:t>_________________________________</w:t>
      </w:r>
    </w:p>
    <w:p>
      <w:pPr>
        <w:pStyle w:val="style0"/>
        <w:spacing w:line="360" w:lineRule="auto"/>
        <w:ind w:hanging="0" w:left="420" w:right="0"/>
        <w:jc w:val="center"/>
        <w:rPr>
          <w:rFonts w:cs="Arial"/>
        </w:rPr>
      </w:pPr>
      <w:r>
        <w:rPr>
          <w:rFonts w:cs="Arial"/>
        </w:rPr>
        <w:t>Daniel de Melo Jacobsen- SIAPE 1.616.753</w:t>
      </w:r>
    </w:p>
    <w:p>
      <w:pPr>
        <w:pStyle w:val="style0"/>
        <w:spacing w:line="360" w:lineRule="auto"/>
        <w:ind w:hanging="0" w:left="420" w:right="0"/>
        <w:jc w:val="center"/>
        <w:rPr>
          <w:rFonts w:cs="Arial"/>
        </w:rPr>
      </w:pPr>
      <w:r>
        <w:rPr>
          <w:rFonts w:cs="Arial"/>
        </w:rPr>
        <w:t>Coordenação de Licitação e Contratos</w:t>
      </w:r>
    </w:p>
    <w:p>
      <w:pPr>
        <w:pStyle w:val="style0"/>
        <w:spacing w:after="360" w:before="0" w:line="360" w:lineRule="auto"/>
        <w:ind w:hanging="0" w:left="420" w:right="0"/>
        <w:contextualSpacing w:val="false"/>
        <w:rPr>
          <w:rFonts w:cs="Arial"/>
        </w:rPr>
      </w:pPr>
      <w:r>
        <w:rPr>
          <w:rFonts w:cs="Arial"/>
        </w:rPr>
      </w:r>
    </w:p>
    <w:p>
      <w:pPr>
        <w:pStyle w:val="style0"/>
        <w:spacing w:after="360" w:before="0" w:line="360" w:lineRule="auto"/>
        <w:ind w:hanging="0" w:left="420" w:right="0"/>
        <w:contextualSpacing w:val="false"/>
        <w:rPr>
          <w:rFonts w:cs="Arial"/>
        </w:rPr>
      </w:pPr>
      <w:r>
        <w:rPr>
          <w:rFonts w:cs="Arial"/>
        </w:rPr>
        <w:t>Aprovo o presente Termo, nas condições apresentadas</w:t>
      </w:r>
    </w:p>
    <w:p>
      <w:pPr>
        <w:pStyle w:val="style0"/>
        <w:spacing w:after="360" w:before="0" w:line="360" w:lineRule="auto"/>
        <w:ind w:hanging="0" w:left="420" w:right="0"/>
        <w:contextualSpacing w:val="false"/>
        <w:jc w:val="center"/>
        <w:rPr>
          <w:rFonts w:cs="Arial"/>
        </w:rPr>
      </w:pPr>
      <w:r>
        <w:rPr>
          <w:rFonts w:cs="Arial"/>
        </w:rPr>
        <w:t>_________________________________</w:t>
      </w:r>
    </w:p>
    <w:p>
      <w:pPr>
        <w:pStyle w:val="style0"/>
        <w:spacing w:line="360" w:lineRule="auto"/>
        <w:ind w:hanging="0" w:left="420" w:right="0"/>
        <w:jc w:val="center"/>
        <w:rPr>
          <w:rFonts w:cs="Arial"/>
        </w:rPr>
      </w:pPr>
      <w:r>
        <w:rPr>
          <w:rFonts w:cs="Arial"/>
        </w:rPr>
        <w:t>Rodrigo Carvalho Carlotto- SIAPE 1.610.622</w:t>
      </w:r>
    </w:p>
    <w:p>
      <w:pPr>
        <w:pStyle w:val="style0"/>
        <w:spacing w:line="360" w:lineRule="auto"/>
        <w:ind w:hanging="0" w:left="420" w:right="0"/>
        <w:jc w:val="center"/>
        <w:rPr>
          <w:rFonts w:cs="Arial"/>
        </w:rPr>
      </w:pPr>
      <w:r>
        <w:rPr>
          <w:rFonts w:cs="Arial"/>
        </w:rPr>
        <w:t>Diretor Geral</w:t>
      </w:r>
    </w:p>
    <w:p>
      <w:pPr>
        <w:pStyle w:val="style0"/>
        <w:rPr/>
      </w:pPr>
      <w:r>
        <w:rPr/>
      </w:r>
    </w:p>
    <w:p>
      <w:pPr>
        <w:pStyle w:val="style0"/>
        <w:widowControl/>
        <w:suppressAutoHyphens w:val="true"/>
        <w:spacing w:after="170" w:before="227"/>
        <w:contextualSpacing w:val="false"/>
        <w:jc w:val="both"/>
        <w:textAlignment w:val="baseline"/>
        <w:rPr/>
      </w:pPr>
      <w:r>
        <w:rPr/>
      </w:r>
    </w:p>
    <w:p>
      <w:pPr>
        <w:pStyle w:val="style0"/>
        <w:widowControl/>
        <w:suppressAutoHyphens w:val="true"/>
        <w:spacing w:after="170" w:before="227"/>
        <w:contextualSpacing w:val="false"/>
        <w:jc w:val="both"/>
        <w:textAlignment w:val="baseline"/>
        <w:rPr/>
      </w:pPr>
      <w:r>
        <w:rPr/>
      </w:r>
    </w:p>
    <w:sectPr>
      <w:headerReference r:id="rId2" w:type="default"/>
      <w:footerReference r:id="rId3" w:type="default"/>
      <w:type w:val="nextPage"/>
      <w:pgSz w:h="16838" w:w="11906"/>
      <w:pgMar w:bottom="1418" w:footer="708" w:gutter="0" w:header="708" w:left="1701" w:right="1134" w:top="1418"/>
      <w:pgNumType w:fmt="decimal"/>
      <w:formProt w:val="false"/>
      <w:textDirection w:val="lrTb"/>
      <w:docGrid w:charSpace="0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">
    <w:charset w:val="00"/>
    <w:family w:val="roman"/>
    <w:pitch w:val="variable"/>
  </w:font>
  <w:font w:name="Cambria">
    <w:charset w:val="00"/>
    <w:family w:val="roman"/>
    <w:pitch w:val="variable"/>
  </w:font>
  <w:font w:name="Tahoma">
    <w:charset w:val="00"/>
    <w:family w:val="roman"/>
    <w:pitch w:val="variable"/>
  </w:font>
  <w:font w:name="Ecofont_Spranq_eco_Sans">
    <w:charset w:val="00"/>
    <w:family w:val="roman"/>
    <w:pitch w:val="variable"/>
  </w:font>
  <w:font w:name="Calibri">
    <w:charset w:val="00"/>
    <w:family w:val="roman"/>
    <w:pitch w:val="variable"/>
  </w:font>
  <w:font w:name="Helvetica-Bold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64"/>
      <w:tabs>
        <w:tab w:leader="none" w:pos="4252" w:val="center"/>
        <w:tab w:leader="none" w:pos="8504" w:val="right"/>
      </w:tabs>
      <w:spacing w:after="170" w:before="227"/>
      <w:contextualSpacing w:val="false"/>
      <w:rPr>
        <w:rFonts w:ascii="Times New Roman" w:cs="Times New Roman" w:hAnsi="Times New Roman"/>
      </w:rPr>
    </w:pPr>
    <w:r>
      <w:rPr>
        <w:rFonts w:ascii="Times New Roman" w:cs="Times New Roman" w:hAnsi="Times New Roman"/>
      </w:rPr>
      <w:t>__________________________________________________________________</w:t>
    </w:r>
  </w:p>
  <w:p>
    <w:pPr>
      <w:pStyle w:val="style64"/>
      <w:jc w:val="center"/>
      <w:rPr>
        <w:rFonts w:cs="Arial"/>
        <w:sz w:val="14"/>
        <w:szCs w:val="14"/>
      </w:rPr>
    </w:pPr>
    <w:r>
      <w:rPr>
        <w:rFonts w:cs="Arial"/>
        <w:sz w:val="14"/>
        <w:szCs w:val="14"/>
      </w:rPr>
      <w:t>São João do Barro Preto, Interior, Cx.P. 38, CEP: 98130-000, Júlio de Castilhos/RS</w:t>
    </w:r>
  </w:p>
  <w:p>
    <w:pPr>
      <w:pStyle w:val="style64"/>
      <w:jc w:val="center"/>
      <w:rPr>
        <w:rFonts w:ascii="Helvetica-Bold" w:cs="Helvetica-Bold" w:eastAsia="Helvetica-Bold" w:hAnsi="Helvetica-Bold"/>
        <w:b/>
        <w:bCs/>
        <w:sz w:val="15"/>
        <w:szCs w:val="15"/>
      </w:rPr>
    </w:pPr>
    <w:r>
      <w:rPr>
        <w:rFonts w:ascii="Helvetica-Bold" w:cs="Helvetica-Bold" w:eastAsia="Helvetica-Bold" w:hAnsi="Helvetica-Bold"/>
        <w:b/>
        <w:bCs/>
        <w:sz w:val="15"/>
        <w:szCs w:val="15"/>
      </w:rPr>
      <w:t xml:space="preserve">Fone: (55) 3271-9505/ E-mail: </w:t>
    </w:r>
    <w:hyperlink r:id="rId1">
      <w:r>
        <w:rPr>
          <w:rStyle w:val="style20"/>
          <w:rFonts w:ascii="Helvetica-Bold" w:eastAsia="Helvetica-Bold" w:hAnsi="Helvetica-Bold"/>
        </w:rPr>
        <w:t>licita</w:t>
      </w:r>
    </w:hyperlink>
    <w:hyperlink r:id="rId2">
      <w:r>
        <w:rPr>
          <w:rStyle w:val="style20"/>
          <w:rFonts w:ascii="Helvetica-Bold" w:eastAsia="Helvetica-Bold" w:hAnsi="Helvetica-Bold"/>
        </w:rPr>
        <w:t>co</w:t>
      </w:r>
    </w:hyperlink>
    <w:hyperlink r:id="rId3">
      <w:r>
        <w:rPr>
          <w:rStyle w:val="style20"/>
          <w:rFonts w:ascii="Helvetica-Bold" w:eastAsia="Helvetica-Bold" w:hAnsi="Helvetica-Bold"/>
        </w:rPr>
        <w:t>es</w:t>
      </w:r>
    </w:hyperlink>
    <w:hyperlink r:id="rId4">
      <w:r>
        <w:rPr>
          <w:rStyle w:val="style20"/>
          <w:rFonts w:ascii="Helvetica-Bold" w:eastAsia="Helvetica-Bold" w:hAnsi="Helvetica-Bold"/>
        </w:rPr>
        <w:t>.jc</w:t>
      </w:r>
    </w:hyperlink>
    <w:hyperlink r:id="rId5">
      <w:r>
        <w:rPr>
          <w:rStyle w:val="style20"/>
          <w:rFonts w:ascii="Helvetica-Bold" w:eastAsia="Helvetica-Bold" w:hAnsi="Helvetica-Bold"/>
        </w:rPr>
        <w:t>@iffarroupilha.edu.br</w:t>
      </w:r>
    </w:hyperlink>
    <w:r>
      <w:rPr>
        <w:rFonts w:ascii="Helvetica-Bold" w:cs="Helvetica-Bold" w:eastAsia="Helvetica-Bold" w:hAnsi="Helvetica-Bold"/>
        <w:b/>
        <w:bCs/>
        <w:sz w:val="15"/>
        <w:szCs w:val="15"/>
      </w:rPr>
      <w:t>.</w:t>
    </w:r>
  </w:p>
  <w:p>
    <w:pPr>
      <w:pStyle w:val="style64"/>
      <w:rPr>
        <w:rFonts w:cs="Arial"/>
      </w:rPr>
    </w:pPr>
    <w:r>
      <w:rPr>
        <w:rFonts w:cs="Arial"/>
      </w:rPr>
    </w:r>
  </w:p>
  <w:p>
    <w:pPr>
      <w:pStyle w:val="style64"/>
      <w:spacing w:after="170" w:before="227"/>
      <w:contextualSpacing w:val="false"/>
      <w:rPr>
        <w:rFonts w:cs="Arial"/>
      </w:rPr>
    </w:pPr>
    <w:r>
      <w:rPr>
        <w:rFonts w:cs="Arial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63"/>
      <w:spacing w:after="170" w:before="227"/>
      <w:contextualSpacing w:val="false"/>
      <w:jc w:val="center"/>
      <w:rPr/>
    </w:pPr>
    <w:r>
      <w:rPr/>
      <w:drawing>
        <wp:inline distB="0" distL="0" distR="0" distT="0">
          <wp:extent cx="532130" cy="540385"/>
          <wp:effectExtent b="0" l="0" r="0" t="0"/>
          <wp:docPr descr="" id="0" name="Pictu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descr="" id="0" name="Picture"/>
                  <pic:cNvPicPr>
                    <a:picLocks noChangeArrowheads="1"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130" cy="5403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>
    <w:pPr>
      <w:pStyle w:val="style68"/>
      <w:pageBreakBefore/>
      <w:spacing w:line="100" w:lineRule="atLeast"/>
      <w:jc w:val="center"/>
      <w:rPr>
        <w:rFonts w:ascii="Arial" w:cs="Arial" w:hAnsi="Arial"/>
        <w:b/>
        <w:sz w:val="20"/>
        <w:szCs w:val="20"/>
      </w:rPr>
    </w:pPr>
    <w:r>
      <w:rPr>
        <w:rFonts w:ascii="Arial" w:cs="Arial" w:hAnsi="Arial"/>
        <w:b/>
        <w:sz w:val="20"/>
        <w:szCs w:val="20"/>
      </w:rPr>
      <w:t>MINISTÉRIO DA EDUCAÇÃO</w:t>
    </w:r>
  </w:p>
  <w:p>
    <w:pPr>
      <w:pStyle w:val="style68"/>
      <w:spacing w:line="100" w:lineRule="atLeast"/>
      <w:jc w:val="center"/>
      <w:rPr>
        <w:rFonts w:ascii="Arial" w:cs="Arial" w:hAnsi="Arial"/>
        <w:sz w:val="14"/>
        <w:szCs w:val="14"/>
      </w:rPr>
    </w:pPr>
    <w:r>
      <w:rPr>
        <w:rFonts w:ascii="Arial" w:cs="Arial" w:hAnsi="Arial"/>
        <w:sz w:val="14"/>
        <w:szCs w:val="14"/>
      </w:rPr>
      <w:t>INSTITUTO FEDERAL FARROUPILHA</w:t>
    </w:r>
  </w:p>
  <w:p>
    <w:pPr>
      <w:pStyle w:val="style63"/>
      <w:spacing w:after="170" w:before="227"/>
      <w:contextualSpacing w:val="false"/>
      <w:jc w:val="center"/>
      <w:rPr/>
    </w:pPr>
    <w:r>
      <w:rPr/>
      <w:t>CÂMPUS JÚLIO DE CASTILHOS</w:t>
    </w:r>
  </w:p>
</w:hdr>
</file>

<file path=word/numbering.xml><?xml version="1.0" encoding="utf-8"?>
<w:numbering xmlns:o="urn:schemas-microsoft-com:office:office" xmlns:r="http://schemas.openxmlformats.org/officeDocument/2006/relationships" xmlns:v="urn:schemas-microsoft-com:vml" xmlns:w="http://schemas.openxmlformats.org/wordprocessingml/2006/main">
  <w:abstractNum w:abstractNumId="1">
    <w:lvl w:ilvl="0">
      <w:start w:val="1"/>
      <w:numFmt w:val="decimal"/>
      <w:lvlText w:val="%1."/>
      <w:lvlJc w:val="left"/>
      <w:pPr>
        <w:ind w:hanging="360" w:left="360"/>
      </w:pPr>
      <w:rPr>
        <w:b/>
      </w:rPr>
    </w:lvl>
    <w:lvl w:ilvl="1">
      <w:start w:val="1"/>
      <w:numFmt w:val="decimal"/>
      <w:lvlText w:val="%1.%2."/>
      <w:lvlJc w:val="left"/>
      <w:pPr>
        <w:ind w:hanging="432" w:left="1142"/>
      </w:pPr>
      <w:rPr>
        <w:color w:val="00000A"/>
        <w:i w:val="false"/>
        <w:b w:val="false"/>
      </w:rPr>
    </w:lvl>
    <w:lvl w:ilvl="2">
      <w:start w:val="1"/>
      <w:numFmt w:val="decimal"/>
      <w:lvlText w:val="%1.%2.%3."/>
      <w:lvlJc w:val="left"/>
      <w:pPr>
        <w:ind w:hanging="504" w:left="1639"/>
      </w:pPr>
      <w:rPr>
        <w:color w:val="00000A"/>
        <w:i w:val="false"/>
        <w:b w:val="false"/>
      </w:rPr>
    </w:lvl>
    <w:lvl w:ilvl="3">
      <w:start w:val="1"/>
      <w:numFmt w:val="decimal"/>
      <w:lvlText w:val="%1.%2.%3.%4."/>
      <w:lvlJc w:val="left"/>
      <w:pPr>
        <w:ind w:hanging="648" w:left="1728"/>
      </w:pPr>
    </w:lvl>
    <w:lvl w:ilvl="4">
      <w:start w:val="1"/>
      <w:numFmt w:val="decimal"/>
      <w:lvlText w:val="%1.%2.%3.%4.%5."/>
      <w:lvlJc w:val="left"/>
      <w:pPr>
        <w:ind w:hanging="792" w:left="2232"/>
      </w:pPr>
    </w:lvl>
    <w:lvl w:ilvl="5">
      <w:start w:val="1"/>
      <w:numFmt w:val="decimal"/>
      <w:lvlText w:val="%1.%2.%3.%4.%5.%6."/>
      <w:lvlJc w:val="left"/>
      <w:pPr>
        <w:ind w:hanging="936" w:left="2736"/>
      </w:pPr>
    </w:lvl>
    <w:lvl w:ilvl="6">
      <w:start w:val="1"/>
      <w:numFmt w:val="decimal"/>
      <w:lvlText w:val="%1.%2.%3.%4.%5.%6.%7."/>
      <w:lvlJc w:val="left"/>
      <w:pPr>
        <w:ind w:hanging="1080" w:left="3240"/>
      </w:pPr>
    </w:lvl>
    <w:lvl w:ilvl="7">
      <w:start w:val="1"/>
      <w:numFmt w:val="decimal"/>
      <w:lvlText w:val="%1.%2.%3.%4.%5.%6.%7.%8."/>
      <w:lvlJc w:val="left"/>
      <w:pPr>
        <w:ind w:hanging="1224" w:left="3744"/>
      </w:pPr>
    </w:lvl>
    <w:lvl w:ilvl="8">
      <w:start w:val="1"/>
      <w:numFmt w:val="decimal"/>
      <w:lvlText w:val="%1.%2.%3.%4.%5.%6.%7.%8.%9."/>
      <w:lvlJc w:val="left"/>
      <w:pPr>
        <w:ind w:hanging="1440" w:left="4320"/>
      </w:pPr>
    </w:lvl>
  </w:abstractNum>
  <w:abstractNum w:abstractNumId="2">
    <w:lvl w:ilvl="0">
      <w:start w:val="1"/>
      <w:numFmt w:val="decimal"/>
      <w:lvlText w:val="%1."/>
      <w:lvlJc w:val="left"/>
      <w:pPr>
        <w:ind w:hanging="360" w:left="720"/>
      </w:pPr>
      <w:rPr>
        <w:b/>
      </w:rPr>
    </w:lvl>
    <w:lvl w:ilvl="1">
      <w:start w:val="1"/>
      <w:numFmt w:val="decimal"/>
      <w:lvlText w:val="%1.%2."/>
      <w:lvlJc w:val="left"/>
      <w:pPr>
        <w:ind w:hanging="360" w:left="1080"/>
      </w:pPr>
      <w:rPr>
        <w:color w:val="00000A"/>
        <w:i/>
        <w:b/>
      </w:rPr>
    </w:lvl>
    <w:lvl w:ilvl="2">
      <w:start w:val="1"/>
      <w:numFmt w:val="decimal"/>
      <w:lvlText w:val="%1.%2.%3."/>
      <w:lvlJc w:val="left"/>
      <w:pPr>
        <w:ind w:hanging="360" w:left="1440"/>
      </w:pPr>
      <w:rPr>
        <w:color w:val="00000A"/>
        <w:i/>
        <w:b/>
      </w:rPr>
    </w:lvl>
    <w:lvl w:ilvl="3">
      <w:start w:val="1"/>
      <w:numFmt w:val="decimal"/>
      <w:lvlText w:val="%1.%2.%3.%4."/>
      <w:lvlJc w:val="left"/>
      <w:pPr>
        <w:ind w:hanging="360" w:left="1800"/>
      </w:pPr>
    </w:lvl>
    <w:lvl w:ilvl="4">
      <w:start w:val="1"/>
      <w:numFmt w:val="decimal"/>
      <w:lvlText w:val="%1.%2.%3.%4.%5."/>
      <w:lvlJc w:val="left"/>
      <w:pPr>
        <w:ind w:hanging="360" w:left="2160"/>
      </w:pPr>
    </w:lvl>
    <w:lvl w:ilvl="5">
      <w:start w:val="1"/>
      <w:numFmt w:val="decimal"/>
      <w:lvlText w:val="%1.%2.%3.%4.%5.%6."/>
      <w:lvlJc w:val="left"/>
      <w:pPr>
        <w:ind w:hanging="360" w:left="2520"/>
      </w:pPr>
    </w:lvl>
    <w:lvl w:ilvl="6">
      <w:start w:val="1"/>
      <w:numFmt w:val="decimal"/>
      <w:lvlText w:val="%1.%2.%3.%4.%5.%6.%7."/>
      <w:lvlJc w:val="left"/>
      <w:pPr>
        <w:ind w:hanging="360" w:left="2880"/>
      </w:pPr>
    </w:lvl>
    <w:lvl w:ilvl="7">
      <w:start w:val="1"/>
      <w:numFmt w:val="decimal"/>
      <w:lvlText w:val="%1.%2.%3.%4.%5.%6.%7.%8."/>
      <w:lvlJc w:val="left"/>
      <w:pPr>
        <w:ind w:hanging="360" w:left="3240"/>
      </w:pPr>
    </w:lvl>
    <w:lvl w:ilvl="8">
      <w:start w:val="1"/>
      <w:numFmt w:val="decimal"/>
      <w:lvlText w:val="%1.%2.%3.%4.%5.%6.%7.%8.%9."/>
      <w:lvlJc w:val="left"/>
      <w:pPr>
        <w:ind w:hanging="360" w:left="3600"/>
      </w:pPr>
    </w:lvl>
  </w:abstractNum>
  <w:abstractNum w:abstractNumId="3">
    <w:lvl w:ilvl="0">
      <w:start w:val="10"/>
      <w:numFmt w:val="decimal"/>
      <w:lvlText w:val="%1"/>
      <w:lvlJc w:val="left"/>
      <w:pPr>
        <w:ind w:hanging="420" w:left="420"/>
      </w:pPr>
    </w:lvl>
    <w:lvl w:ilvl="1">
      <w:start w:val="1"/>
      <w:numFmt w:val="decimal"/>
      <w:lvlText w:val="%1.%2"/>
      <w:lvlJc w:val="left"/>
      <w:pPr>
        <w:ind w:hanging="420" w:left="420"/>
      </w:pPr>
    </w:lvl>
    <w:lvl w:ilvl="2">
      <w:start w:val="1"/>
      <w:numFmt w:val="decimal"/>
      <w:lvlText w:val="%1.%2.%3"/>
      <w:lvlJc w:val="left"/>
      <w:pPr>
        <w:ind w:hanging="720" w:left="720"/>
      </w:pPr>
    </w:lvl>
    <w:lvl w:ilvl="3">
      <w:start w:val="1"/>
      <w:numFmt w:val="decimal"/>
      <w:lvlText w:val="%1.%2.%3.%4"/>
      <w:lvlJc w:val="left"/>
      <w:pPr>
        <w:ind w:hanging="720" w:left="720"/>
      </w:pPr>
    </w:lvl>
    <w:lvl w:ilvl="4">
      <w:start w:val="1"/>
      <w:numFmt w:val="decimal"/>
      <w:lvlText w:val="%1.%2.%3.%4.%5"/>
      <w:lvlJc w:val="left"/>
      <w:pPr>
        <w:ind w:hanging="1080" w:left="1080"/>
      </w:pPr>
    </w:lvl>
    <w:lvl w:ilvl="5">
      <w:start w:val="1"/>
      <w:numFmt w:val="decimal"/>
      <w:lvlText w:val="%1.%2.%3.%4.%5.%6"/>
      <w:lvlJc w:val="left"/>
      <w:pPr>
        <w:ind w:hanging="1080" w:left="1080"/>
      </w:pPr>
    </w:lvl>
    <w:lvl w:ilvl="6">
      <w:start w:val="1"/>
      <w:numFmt w:val="decimal"/>
      <w:lvlText w:val="%1.%2.%3.%4.%5.%6.%7"/>
      <w:lvlJc w:val="left"/>
      <w:pPr>
        <w:ind w:hanging="1440" w:left="1440"/>
      </w:pPr>
    </w:lvl>
    <w:lvl w:ilvl="7">
      <w:start w:val="1"/>
      <w:numFmt w:val="decimal"/>
      <w:lvlText w:val="%1.%2.%3.%4.%5.%6.%7.%8"/>
      <w:lvlJc w:val="left"/>
      <w:pPr>
        <w:ind w:hanging="1440" w:left="1440"/>
      </w:pPr>
    </w:lvl>
    <w:lvl w:ilvl="8">
      <w:start w:val="1"/>
      <w:numFmt w:val="decimal"/>
      <w:lvlText w:val="%1.%2.%3.%4.%5.%6.%7.%8.%9"/>
      <w:lvlJc w:val="left"/>
      <w:pPr>
        <w:ind w:hanging="1800" w:left="1800"/>
      </w:pPr>
    </w:lvl>
  </w:abstractNum>
  <w:abstractNum w:abstractNumId="4">
    <w:lvl w:ilvl="0">
      <w:start w:val="1"/>
      <w:numFmt w:val="upperRoman"/>
      <w:lvlText w:val="%1-"/>
      <w:lvlJc w:val="left"/>
      <w:pPr>
        <w:ind w:hanging="720" w:left="1145"/>
      </w:pPr>
    </w:lvl>
    <w:lvl w:ilvl="1">
      <w:start w:val="1"/>
      <w:numFmt w:val="lowerLetter"/>
      <w:lvlText w:val="%2."/>
      <w:lvlJc w:val="left"/>
      <w:pPr>
        <w:ind w:hanging="360" w:left="1505"/>
      </w:pPr>
    </w:lvl>
    <w:lvl w:ilvl="2">
      <w:start w:val="1"/>
      <w:numFmt w:val="lowerRoman"/>
      <w:lvlText w:val="%3."/>
      <w:lvlJc w:val="right"/>
      <w:pPr>
        <w:ind w:hanging="180" w:left="2225"/>
      </w:pPr>
    </w:lvl>
    <w:lvl w:ilvl="3">
      <w:start w:val="1"/>
      <w:numFmt w:val="decimal"/>
      <w:lvlText w:val="%4."/>
      <w:lvlJc w:val="left"/>
      <w:pPr>
        <w:ind w:hanging="360" w:left="2945"/>
      </w:pPr>
    </w:lvl>
    <w:lvl w:ilvl="4">
      <w:start w:val="1"/>
      <w:numFmt w:val="lowerLetter"/>
      <w:lvlText w:val="%5."/>
      <w:lvlJc w:val="left"/>
      <w:pPr>
        <w:ind w:hanging="360" w:left="3665"/>
      </w:pPr>
    </w:lvl>
    <w:lvl w:ilvl="5">
      <w:start w:val="1"/>
      <w:numFmt w:val="lowerRoman"/>
      <w:lvlText w:val="%6."/>
      <w:lvlJc w:val="right"/>
      <w:pPr>
        <w:ind w:hanging="180" w:left="4385"/>
      </w:pPr>
    </w:lvl>
    <w:lvl w:ilvl="6">
      <w:start w:val="1"/>
      <w:numFmt w:val="decimal"/>
      <w:lvlText w:val="%7."/>
      <w:lvlJc w:val="left"/>
      <w:pPr>
        <w:ind w:hanging="360" w:left="5105"/>
      </w:pPr>
    </w:lvl>
    <w:lvl w:ilvl="7">
      <w:start w:val="1"/>
      <w:numFmt w:val="lowerLetter"/>
      <w:lvlText w:val="%8."/>
      <w:lvlJc w:val="left"/>
      <w:pPr>
        <w:ind w:hanging="360" w:left="5825"/>
      </w:pPr>
    </w:lvl>
    <w:lvl w:ilvl="8">
      <w:start w:val="1"/>
      <w:numFmt w:val="lowerRoman"/>
      <w:lvlText w:val="%9."/>
      <w:lvlJc w:val="right"/>
      <w:pPr>
        <w:ind w:hanging="180" w:left="6545"/>
      </w:pPr>
    </w:lvl>
  </w:abstractNum>
  <w:abstractNum w:abstractNumId="5">
    <w:lvl w:ilvl="0">
      <w:start w:val="1"/>
      <w:numFmt w:val="upperRoman"/>
      <w:lvlText w:val="%1-"/>
      <w:lvlJc w:val="left"/>
      <w:pPr>
        <w:ind w:hanging="720" w:left="1145"/>
      </w:pPr>
    </w:lvl>
    <w:lvl w:ilvl="1">
      <w:start w:val="1"/>
      <w:numFmt w:val="lowerLetter"/>
      <w:lvlText w:val="%2."/>
      <w:lvlJc w:val="left"/>
      <w:pPr>
        <w:ind w:hanging="360" w:left="1505"/>
      </w:pPr>
    </w:lvl>
    <w:lvl w:ilvl="2">
      <w:start w:val="1"/>
      <w:numFmt w:val="lowerRoman"/>
      <w:lvlText w:val="%3."/>
      <w:lvlJc w:val="right"/>
      <w:pPr>
        <w:ind w:hanging="180" w:left="2225"/>
      </w:pPr>
    </w:lvl>
    <w:lvl w:ilvl="3">
      <w:start w:val="1"/>
      <w:numFmt w:val="decimal"/>
      <w:lvlText w:val="%4."/>
      <w:lvlJc w:val="left"/>
      <w:pPr>
        <w:ind w:hanging="360" w:left="2945"/>
      </w:pPr>
    </w:lvl>
    <w:lvl w:ilvl="4">
      <w:start w:val="1"/>
      <w:numFmt w:val="lowerLetter"/>
      <w:lvlText w:val="%5."/>
      <w:lvlJc w:val="left"/>
      <w:pPr>
        <w:ind w:hanging="360" w:left="3665"/>
      </w:pPr>
    </w:lvl>
    <w:lvl w:ilvl="5">
      <w:start w:val="1"/>
      <w:numFmt w:val="lowerRoman"/>
      <w:lvlText w:val="%6."/>
      <w:lvlJc w:val="right"/>
      <w:pPr>
        <w:ind w:hanging="180" w:left="4385"/>
      </w:pPr>
    </w:lvl>
    <w:lvl w:ilvl="6">
      <w:start w:val="1"/>
      <w:numFmt w:val="decimal"/>
      <w:lvlText w:val="%7."/>
      <w:lvlJc w:val="left"/>
      <w:pPr>
        <w:ind w:hanging="360" w:left="5105"/>
      </w:pPr>
    </w:lvl>
    <w:lvl w:ilvl="7">
      <w:start w:val="1"/>
      <w:numFmt w:val="lowerLetter"/>
      <w:lvlText w:val="%8."/>
      <w:lvlJc w:val="left"/>
      <w:pPr>
        <w:ind w:hanging="360" w:left="5825"/>
      </w:pPr>
    </w:lvl>
    <w:lvl w:ilvl="8">
      <w:start w:val="1"/>
      <w:numFmt w:val="lowerRoman"/>
      <w:lvlText w:val="%9."/>
      <w:lvlJc w:val="right"/>
      <w:pPr>
        <w:ind w:hanging="180" w:left="6545"/>
      </w:p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98"/>
  <w:defaultTabStop w:val="708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/>
      <w:suppressAutoHyphens w:val="true"/>
      <w:spacing w:after="170" w:before="227"/>
      <w:contextualSpacing w:val="false"/>
      <w:jc w:val="both"/>
      <w:textAlignment w:val="baseline"/>
    </w:pPr>
    <w:rPr>
      <w:rFonts w:ascii="Arial" w:cs="Times New Roman" w:eastAsia="Times New Roman" w:hAnsi="Arial"/>
      <w:color w:val="00000A"/>
      <w:sz w:val="24"/>
      <w:szCs w:val="24"/>
      <w:lang w:bidi="ar-SA" w:eastAsia="zh-CN" w:val="pt-BR"/>
    </w:rPr>
  </w:style>
  <w:style w:styleId="style1" w:type="paragraph">
    <w:name w:val="Título 1"/>
    <w:basedOn w:val="style0"/>
    <w:next w:val="style1"/>
    <w:pPr>
      <w:keepNext/>
      <w:keepLines/>
      <w:spacing w:after="0" w:before="240"/>
      <w:contextualSpacing w:val="false"/>
    </w:pPr>
    <w:rPr>
      <w:rFonts w:ascii="Cambria" w:cs="" w:hAnsi="Cambria"/>
      <w:color w:val="365F91"/>
      <w:sz w:val="32"/>
      <w:szCs w:val="32"/>
    </w:rPr>
  </w:style>
  <w:style w:styleId="style2" w:type="paragraph">
    <w:name w:val="Título 2"/>
    <w:basedOn w:val="style0"/>
    <w:next w:val="style2"/>
    <w:pPr>
      <w:keepNext/>
      <w:tabs>
        <w:tab w:leader="none" w:pos="1701" w:val="left"/>
      </w:tabs>
      <w:ind w:hanging="0" w:left="0" w:right="-1"/>
      <w:jc w:val="center"/>
    </w:pPr>
    <w:rPr>
      <w:rFonts w:ascii="Times New Roman" w:cs="Times New Roman" w:hAnsi="Times New Roman"/>
      <w:b/>
      <w:color w:val="000000"/>
      <w:szCs w:val="20"/>
    </w:rPr>
  </w:style>
  <w:style w:styleId="style15" w:type="character">
    <w:name w:val="Default Paragraph Font"/>
    <w:next w:val="style15"/>
    <w:rPr/>
  </w:style>
  <w:style w:styleId="style16" w:type="character">
    <w:name w:val="Texto de balão Char"/>
    <w:next w:val="style16"/>
    <w:rPr>
      <w:rFonts w:ascii="Tahoma" w:cs="Tahoma" w:hAnsi="Tahoma"/>
      <w:sz w:val="16"/>
      <w:szCs w:val="16"/>
    </w:rPr>
  </w:style>
  <w:style w:styleId="style17" w:type="character">
    <w:name w:val="Título 2 Char"/>
    <w:next w:val="style17"/>
    <w:rPr>
      <w:b/>
      <w:color w:val="000000"/>
      <w:sz w:val="24"/>
    </w:rPr>
  </w:style>
  <w:style w:styleId="style18" w:type="character">
    <w:name w:val="normal__char1"/>
    <w:next w:val="style18"/>
    <w:rPr>
      <w:rFonts w:ascii="Arial" w:cs="Arial" w:hAnsi="Arial"/>
      <w:strike w:val="false"/>
      <w:dstrike w:val="false"/>
      <w:sz w:val="24"/>
      <w:szCs w:val="24"/>
      <w:u w:val="none"/>
      <w:effect w:val="none"/>
    </w:rPr>
  </w:style>
  <w:style w:styleId="style19" w:type="character">
    <w:name w:val="apple-style-span"/>
    <w:basedOn w:val="style15"/>
    <w:next w:val="style19"/>
    <w:rPr/>
  </w:style>
  <w:style w:styleId="style20" w:type="character">
    <w:name w:val="Link da Internet"/>
    <w:next w:val="style20"/>
    <w:rPr>
      <w:color w:val="000080"/>
      <w:u w:val="single"/>
      <w:lang w:bidi="zxx-" w:eastAsia="zxx-" w:val="zxx-"/>
    </w:rPr>
  </w:style>
  <w:style w:styleId="style21" w:type="character">
    <w:name w:val="Grade Colorida - Ênfase 1 Char"/>
    <w:next w:val="style21"/>
    <w:rPr>
      <w:rFonts w:ascii="Ecofont_Spranq_eco_Sans" w:cs="Tahoma" w:eastAsia="Calibri" w:hAnsi="Ecofont_Spranq_eco_Sans"/>
      <w:i/>
      <w:iCs/>
      <w:color w:val="000000"/>
      <w:szCs w:val="24"/>
      <w:shd w:fill="FFFFCC" w:val="clear"/>
      <w:lang w:eastAsia="en-US"/>
    </w:rPr>
  </w:style>
  <w:style w:styleId="style22" w:type="character">
    <w:name w:val="citação 2 Char"/>
    <w:basedOn w:val="style21"/>
    <w:next w:val="style22"/>
    <w:rPr>
      <w:rFonts w:ascii="Ecofont_Spranq_eco_Sans" w:cs="Tahoma" w:eastAsia="Calibri" w:hAnsi="Ecofont_Spranq_eco_Sans"/>
      <w:i/>
      <w:iCs/>
      <w:color w:val="000000"/>
      <w:szCs w:val="24"/>
      <w:shd w:fill="FFFFCC" w:val="clear"/>
      <w:lang w:eastAsia="en-US"/>
    </w:rPr>
  </w:style>
  <w:style w:styleId="style23" w:type="character">
    <w:name w:val="Citação Char"/>
    <w:basedOn w:val="style15"/>
    <w:next w:val="style23"/>
    <w:rPr>
      <w:rFonts w:ascii="Ecofont_Spranq_eco_Sans" w:eastAsia="Calibri" w:hAnsi="Ecofont_Spranq_eco_Sans"/>
      <w:i/>
      <w:iCs/>
      <w:color w:val="000000"/>
      <w:szCs w:val="24"/>
      <w:shd w:fill="FFFFCC" w:val="clear"/>
      <w:lang w:eastAsia="en-US" w:val="pt-BR"/>
    </w:rPr>
  </w:style>
  <w:style w:styleId="style24" w:type="character">
    <w:name w:val="Cabeçalho Char"/>
    <w:basedOn w:val="style15"/>
    <w:next w:val="style24"/>
    <w:rPr>
      <w:rFonts w:ascii="Ecofont_Spranq_eco_Sans" w:cs="Tahoma" w:hAnsi="Ecofont_Spranq_eco_Sans"/>
      <w:sz w:val="24"/>
      <w:szCs w:val="24"/>
    </w:rPr>
  </w:style>
  <w:style w:styleId="style25" w:type="character">
    <w:name w:val="Rodapé Char"/>
    <w:basedOn w:val="style15"/>
    <w:next w:val="style25"/>
    <w:rPr>
      <w:rFonts w:ascii="Ecofont_Spranq_eco_Sans" w:cs="Tahoma" w:hAnsi="Ecofont_Spranq_eco_Sans"/>
      <w:sz w:val="24"/>
      <w:szCs w:val="24"/>
    </w:rPr>
  </w:style>
  <w:style w:styleId="style26" w:type="character">
    <w:name w:val="Título 1 Char"/>
    <w:basedOn w:val="style15"/>
    <w:next w:val="style26"/>
    <w:rPr>
      <w:rFonts w:ascii="Cambria" w:cs="" w:hAnsi="Cambria"/>
      <w:color w:val="365F91"/>
      <w:sz w:val="32"/>
      <w:szCs w:val="32"/>
    </w:rPr>
  </w:style>
  <w:style w:styleId="style27" w:type="character">
    <w:name w:val="annotation reference"/>
    <w:basedOn w:val="style15"/>
    <w:next w:val="style27"/>
    <w:rPr>
      <w:sz w:val="18"/>
      <w:szCs w:val="18"/>
    </w:rPr>
  </w:style>
  <w:style w:styleId="style28" w:type="character">
    <w:name w:val="Texto de comentário Char"/>
    <w:basedOn w:val="style15"/>
    <w:next w:val="style28"/>
    <w:rPr>
      <w:rFonts w:ascii="Arial" w:cs="Tahoma" w:hAnsi="Arial"/>
      <w:sz w:val="24"/>
      <w:szCs w:val="24"/>
    </w:rPr>
  </w:style>
  <w:style w:styleId="style29" w:type="character">
    <w:name w:val="Fonte parág. padrão7"/>
    <w:next w:val="style29"/>
    <w:rPr/>
  </w:style>
  <w:style w:styleId="style30" w:type="character">
    <w:name w:val="WW-WW8Num1ztrue7"/>
    <w:next w:val="style30"/>
    <w:rPr/>
  </w:style>
  <w:style w:styleId="style31" w:type="character">
    <w:name w:val="Fonte parág. padrão2"/>
    <w:next w:val="style31"/>
    <w:rPr/>
  </w:style>
  <w:style w:styleId="style32" w:type="character">
    <w:name w:val="ListLabel 1"/>
    <w:next w:val="style32"/>
    <w:rPr>
      <w:b/>
    </w:rPr>
  </w:style>
  <w:style w:styleId="style33" w:type="character">
    <w:name w:val="ListLabel 2"/>
    <w:next w:val="style33"/>
    <w:rPr>
      <w:b w:val="false"/>
      <w:i w:val="false"/>
      <w:color w:val="00000A"/>
    </w:rPr>
  </w:style>
  <w:style w:styleId="style34" w:type="character">
    <w:name w:val="ListLabel 3"/>
    <w:next w:val="style34"/>
    <w:rPr>
      <w:rFonts w:eastAsia="Arial Unicode MS"/>
    </w:rPr>
  </w:style>
  <w:style w:styleId="style35" w:type="character">
    <w:name w:val="ListLabel 4"/>
    <w:next w:val="style35"/>
    <w:rPr>
      <w:rFonts w:cs="Arial"/>
      <w:i/>
      <w:color w:val="FF0000"/>
    </w:rPr>
  </w:style>
  <w:style w:styleId="style36" w:type="character">
    <w:name w:val="ListLabel 5"/>
    <w:next w:val="style36"/>
    <w:rPr>
      <w:color w:val="0000FF"/>
    </w:rPr>
  </w:style>
  <w:style w:styleId="style37" w:type="character">
    <w:name w:val="ListLabel 6"/>
    <w:next w:val="style37"/>
    <w:rPr>
      <w:b w:val="false"/>
    </w:rPr>
  </w:style>
  <w:style w:styleId="style38" w:type="character">
    <w:name w:val="ListLabel 7"/>
    <w:next w:val="style38"/>
    <w:rPr>
      <w:b/>
      <w:i w:val="false"/>
    </w:rPr>
  </w:style>
  <w:style w:styleId="style39" w:type="character">
    <w:name w:val="ListLabel 8"/>
    <w:next w:val="style39"/>
    <w:rPr>
      <w:b/>
      <w:i w:val="false"/>
      <w:color w:val="00000A"/>
    </w:rPr>
  </w:style>
  <w:style w:styleId="style40" w:type="character">
    <w:name w:val="ListLabel 9"/>
    <w:next w:val="style40"/>
    <w:rPr>
      <w:b w:val="false"/>
      <w:i w:val="false"/>
    </w:rPr>
  </w:style>
  <w:style w:styleId="style41" w:type="character">
    <w:name w:val="ListLabel 10"/>
    <w:next w:val="style41"/>
    <w:rPr>
      <w:rFonts w:cs="Courier New"/>
    </w:rPr>
  </w:style>
  <w:style w:styleId="style42" w:type="character">
    <w:name w:val="ListLabel 11"/>
    <w:next w:val="style42"/>
    <w:rPr>
      <w:b/>
      <w:i/>
      <w:color w:val="00000A"/>
    </w:rPr>
  </w:style>
  <w:style w:styleId="style43" w:type="character">
    <w:name w:val="ListLabel 12"/>
    <w:next w:val="style43"/>
    <w:rPr>
      <w:b/>
    </w:rPr>
  </w:style>
  <w:style w:styleId="style44" w:type="character">
    <w:name w:val="ListLabel 13"/>
    <w:next w:val="style44"/>
    <w:rPr>
      <w:b w:val="false"/>
      <w:i w:val="false"/>
      <w:color w:val="00000A"/>
    </w:rPr>
  </w:style>
  <w:style w:styleId="style45" w:type="character">
    <w:name w:val="ListLabel 14"/>
    <w:next w:val="style45"/>
    <w:rPr>
      <w:rFonts w:cs="Symbol"/>
    </w:rPr>
  </w:style>
  <w:style w:styleId="style46" w:type="character">
    <w:name w:val="ListLabel 15"/>
    <w:next w:val="style46"/>
    <w:rPr>
      <w:b/>
      <w:i/>
      <w:color w:val="00000A"/>
    </w:rPr>
  </w:style>
  <w:style w:styleId="style47" w:type="character">
    <w:name w:val="ListLabel 16"/>
    <w:next w:val="style47"/>
    <w:rPr>
      <w:b/>
    </w:rPr>
  </w:style>
  <w:style w:styleId="style48" w:type="character">
    <w:name w:val="ListLabel 17"/>
    <w:next w:val="style48"/>
    <w:rPr>
      <w:b w:val="false"/>
      <w:i w:val="false"/>
      <w:color w:val="00000A"/>
    </w:rPr>
  </w:style>
  <w:style w:styleId="style49" w:type="character">
    <w:name w:val="ListLabel 18"/>
    <w:next w:val="style49"/>
    <w:rPr>
      <w:b/>
      <w:i/>
      <w:color w:val="00000A"/>
    </w:rPr>
  </w:style>
  <w:style w:styleId="style50" w:type="paragraph">
    <w:name w:val="Título"/>
    <w:basedOn w:val="style0"/>
    <w:next w:val="style51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51" w:type="paragraph">
    <w:name w:val="Corpo do texto"/>
    <w:basedOn w:val="style0"/>
    <w:next w:val="style51"/>
    <w:pPr>
      <w:spacing w:after="120" w:before="0"/>
      <w:contextualSpacing w:val="false"/>
    </w:pPr>
    <w:rPr/>
  </w:style>
  <w:style w:styleId="style52" w:type="paragraph">
    <w:name w:val="Lista"/>
    <w:basedOn w:val="style51"/>
    <w:next w:val="style52"/>
    <w:pPr/>
    <w:rPr>
      <w:rFonts w:cs="Mangal"/>
    </w:rPr>
  </w:style>
  <w:style w:styleId="style53" w:type="paragraph">
    <w:name w:val="Legenda"/>
    <w:basedOn w:val="style0"/>
    <w:next w:val="style53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54" w:type="paragraph">
    <w:name w:val="Índice"/>
    <w:basedOn w:val="style0"/>
    <w:next w:val="style54"/>
    <w:pPr>
      <w:suppressLineNumbers/>
    </w:pPr>
    <w:rPr>
      <w:rFonts w:cs="Mangal"/>
    </w:rPr>
  </w:style>
  <w:style w:styleId="style55" w:type="paragraph">
    <w:name w:val="Lista Colorida - Ênfase 11"/>
    <w:basedOn w:val="style0"/>
    <w:next w:val="style55"/>
    <w:pPr>
      <w:spacing w:after="0" w:before="0"/>
      <w:ind w:hanging="0" w:left="720" w:right="0"/>
      <w:contextualSpacing/>
    </w:pPr>
    <w:rPr/>
  </w:style>
  <w:style w:styleId="style56" w:type="paragraph">
    <w:name w:val="Normal (Web)"/>
    <w:basedOn w:val="style0"/>
    <w:next w:val="style56"/>
    <w:pPr>
      <w:spacing w:after="280" w:before="280"/>
      <w:contextualSpacing w:val="false"/>
    </w:pPr>
    <w:rPr>
      <w:rFonts w:ascii="Times New Roman" w:cs="Times New Roman" w:hAnsi="Times New Roman"/>
    </w:rPr>
  </w:style>
  <w:style w:styleId="style57" w:type="paragraph">
    <w:name w:val="Balloon Text"/>
    <w:basedOn w:val="style0"/>
    <w:next w:val="style57"/>
    <w:pPr/>
    <w:rPr>
      <w:rFonts w:ascii="Tahoma" w:hAnsi="Tahoma"/>
      <w:sz w:val="16"/>
      <w:szCs w:val="16"/>
    </w:rPr>
  </w:style>
  <w:style w:styleId="style58" w:type="paragraph">
    <w:name w:val="Nível 2"/>
    <w:basedOn w:val="style0"/>
    <w:next w:val="style58"/>
    <w:pPr>
      <w:spacing w:after="120" w:before="0"/>
      <w:contextualSpacing w:val="false"/>
      <w:jc w:val="both"/>
    </w:pPr>
    <w:rPr>
      <w:rFonts w:cs="Times New Roman"/>
      <w:b/>
      <w:szCs w:val="20"/>
    </w:rPr>
  </w:style>
  <w:style w:styleId="style59" w:type="paragraph">
    <w:name w:val="Grade Colorida - Ênfase 11"/>
    <w:basedOn w:val="style0"/>
    <w:next w:val="style59"/>
    <w:pPr>
      <w:pBdr>
        <w:top w:color="1F497D" w:space="0" w:sz="4" w:val="single"/>
        <w:left w:color="1F497D" w:space="0" w:sz="4" w:val="single"/>
        <w:bottom w:color="1F497D" w:space="0" w:sz="4" w:val="single"/>
        <w:insideH w:color="1F497D" w:space="0" w:sz="4" w:val="single"/>
        <w:right w:color="1F497D" w:space="0" w:sz="4" w:val="single"/>
        <w:insideV w:color="1F497D" w:space="0" w:sz="4" w:val="single"/>
      </w:pBdr>
      <w:shd w:fill="FFFFCC" w:val="clear"/>
      <w:spacing w:after="0" w:before="120"/>
      <w:contextualSpacing w:val="false"/>
      <w:jc w:val="both"/>
    </w:pPr>
    <w:rPr>
      <w:rFonts w:eastAsia="Calibri"/>
      <w:i/>
      <w:iCs/>
      <w:color w:val="000000"/>
      <w:sz w:val="20"/>
      <w:lang w:eastAsia="en-US"/>
    </w:rPr>
  </w:style>
  <w:style w:styleId="style60" w:type="paragraph">
    <w:name w:val="List Bullet 5"/>
    <w:basedOn w:val="style0"/>
    <w:next w:val="style60"/>
    <w:pPr>
      <w:spacing w:after="0" w:before="0"/>
      <w:contextualSpacing/>
    </w:pPr>
    <w:rPr/>
  </w:style>
  <w:style w:styleId="style61" w:type="paragraph">
    <w:name w:val="citação 2"/>
    <w:basedOn w:val="style59"/>
    <w:next w:val="style61"/>
    <w:pPr/>
    <w:rPr>
      <w:szCs w:val="20"/>
    </w:rPr>
  </w:style>
  <w:style w:styleId="style62" w:type="paragraph">
    <w:name w:val="Quote"/>
    <w:basedOn w:val="style0"/>
    <w:next w:val="style62"/>
    <w:pPr>
      <w:pBdr>
        <w:top w:color="1F497D" w:space="0" w:sz="4" w:val="single"/>
        <w:left w:color="1F497D" w:space="0" w:sz="4" w:val="single"/>
        <w:bottom w:color="1F497D" w:space="0" w:sz="4" w:val="single"/>
        <w:insideH w:color="1F497D" w:space="0" w:sz="4" w:val="single"/>
        <w:right w:color="1F497D" w:space="0" w:sz="4" w:val="single"/>
        <w:insideV w:color="1F497D" w:space="0" w:sz="4" w:val="single"/>
      </w:pBdr>
      <w:shd w:fill="FFFFCC" w:val="clear"/>
      <w:spacing w:after="0" w:before="120"/>
      <w:contextualSpacing w:val="false"/>
      <w:jc w:val="both"/>
    </w:pPr>
    <w:rPr>
      <w:rFonts w:cs="Times New Roman" w:eastAsia="Calibri"/>
      <w:i/>
      <w:iCs/>
      <w:color w:val="000000"/>
      <w:sz w:val="20"/>
      <w:lang w:eastAsia="en-US" w:val="pt-BR"/>
    </w:rPr>
  </w:style>
  <w:style w:styleId="style63" w:type="paragraph">
    <w:name w:val="Cabeçalho"/>
    <w:basedOn w:val="style0"/>
    <w:next w:val="style63"/>
    <w:pPr>
      <w:tabs>
        <w:tab w:leader="none" w:pos="4252" w:val="center"/>
        <w:tab w:leader="none" w:pos="8504" w:val="right"/>
      </w:tabs>
    </w:pPr>
    <w:rPr/>
  </w:style>
  <w:style w:styleId="style64" w:type="paragraph">
    <w:name w:val="Rodapé"/>
    <w:basedOn w:val="style0"/>
    <w:next w:val="style64"/>
    <w:pPr>
      <w:tabs>
        <w:tab w:leader="none" w:pos="4252" w:val="center"/>
        <w:tab w:leader="none" w:pos="8504" w:val="right"/>
      </w:tabs>
    </w:pPr>
    <w:rPr/>
  </w:style>
  <w:style w:styleId="style65" w:type="paragraph">
    <w:name w:val="List Paragraph"/>
    <w:basedOn w:val="style0"/>
    <w:next w:val="style65"/>
    <w:pPr>
      <w:spacing w:after="0" w:before="0"/>
      <w:ind w:hanging="0" w:left="720" w:right="0"/>
      <w:contextualSpacing/>
    </w:pPr>
    <w:rPr/>
  </w:style>
  <w:style w:styleId="style66" w:type="paragraph">
    <w:name w:val="Nivel1"/>
    <w:basedOn w:val="style1"/>
    <w:next w:val="style66"/>
    <w:pPr>
      <w:spacing w:after="120" w:before="480" w:line="276" w:lineRule="auto"/>
      <w:ind w:hanging="357" w:left="357" w:right="0"/>
      <w:contextualSpacing w:val="false"/>
      <w:jc w:val="both"/>
    </w:pPr>
    <w:rPr>
      <w:rFonts w:ascii="Arial" w:cs="Arial" w:hAnsi="Arial"/>
      <w:b/>
      <w:color w:val="000000"/>
      <w:sz w:val="20"/>
      <w:szCs w:val="20"/>
    </w:rPr>
  </w:style>
  <w:style w:styleId="style67" w:type="paragraph">
    <w:name w:val="annotation text"/>
    <w:basedOn w:val="style0"/>
    <w:next w:val="style67"/>
    <w:pPr/>
    <w:rPr/>
  </w:style>
  <w:style w:styleId="style68" w:type="paragraph">
    <w:name w:val="LO-Normal"/>
    <w:next w:val="style68"/>
    <w:pPr>
      <w:widowControl w:val="false"/>
      <w:suppressAutoHyphens w:val="true"/>
    </w:pPr>
    <w:rPr>
      <w:rFonts w:ascii="Calibri" w:cs="Times New Roman" w:eastAsia="Calibri" w:hAnsi="Calibri"/>
      <w:color w:val="00000A"/>
      <w:sz w:val="24"/>
      <w:szCs w:val="24"/>
      <w:lang w:bidi="hi-IN" w:eastAsia="hi-IN" w:val="pt-BR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mailto:licitacoes.jc@iffarroupilha.edu.br" TargetMode="External"/><Relationship Id="rId2" Type="http://schemas.openxmlformats.org/officeDocument/2006/relationships/hyperlink" Target="mailto:licitacoes.jc@iffarroupilha.edu.br" TargetMode="External"/><Relationship Id="rId3" Type="http://schemas.openxmlformats.org/officeDocument/2006/relationships/hyperlink" Target="mailto:licitacoes.jc@iffarroupilha.edu.br" TargetMode="External"/><Relationship Id="rId4" Type="http://schemas.openxmlformats.org/officeDocument/2006/relationships/hyperlink" Target="mailto:licitacoes.jc@iffarroupilha.edu.br" TargetMode="External"/><Relationship Id="rId5" Type="http://schemas.openxmlformats.org/officeDocument/2006/relationships/hyperlink" Target="mailto:licitacoes.jc@iffarroupilha.edu.br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TR compras</Template>
  <TotalTime>5</TotalTime>
  <Application>LibreOffice/4.1.3.2$Windows_x86 LibreOffice_project/70feb7d99726f064edab4605a8ab840c50ec57a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2018-06-22T16:23:00Z</dcterms:created>
  <dc:creator>Adriano</dc:creator>
  <cp:lastModifiedBy>Daiane de Fátima dos Santos Bueno</cp:lastModifiedBy>
  <cp:lastPrinted>2018-11-09T18:33:00Z</cp:lastPrinted>
  <dcterms:modified xsi:type="dcterms:W3CDTF">2018-11-09T18:33:00Z</dcterms:modified>
  <cp:revision>5</cp:revision>
  <dc:title>NOTAS EXPLICATIVAS</dc:title>
</cp:coreProperties>
</file>