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2.wmf" ContentType="image/x-wmf"/>
  <Override PartName="/word/media/image1.jpeg" ContentType="image/jpeg"/>
  <Override PartName="/word/theme/theme1.xml" ContentType="application/vnd.openxmlformats-officedocument.theme+xml"/>
  <Override PartName="/word/styles.xml" ContentType="application/vnd.openxmlformats-officedocument.wordprocessingml.style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A6A6A6" w:themeFill="background1" w:themeFillShade="a6"/>
        <w:spacing w:lineRule="auto" w:line="240"/>
        <w:jc w:val="center"/>
        <w:rPr>
          <w:rFonts w:ascii="Book Antiqua" w:hAnsi="Book Antiqua" w:cs="Arial"/>
          <w:sz w:val="22"/>
          <w:szCs w:val="22"/>
        </w:rPr>
      </w:pPr>
      <w:r>
        <w:rPr>
          <w:rFonts w:cs="Arial" w:ascii="Book Antiqua" w:hAnsi="Book Antiqua"/>
          <w:sz w:val="22"/>
          <w:szCs w:val="22"/>
        </w:rPr>
        <w:t xml:space="preserve">RELATÓRIO MENSAL DE ACOMPANHAMENTO DO CONTRATO </w:t>
      </w:r>
    </w:p>
    <w:tbl>
      <w:tblPr>
        <w:tblW w:w="8520" w:type="dxa"/>
        <w:jc w:val="left"/>
        <w:tblInd w:w="55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4a0" w:noVBand="1" w:noHBand="0" w:lastColumn="0" w:firstColumn="1" w:lastRow="0" w:firstRow="1"/>
      </w:tblPr>
      <w:tblGrid>
        <w:gridCol w:w="1715"/>
        <w:gridCol w:w="6804"/>
      </w:tblGrid>
      <w:tr>
        <w:trPr>
          <w:trHeight w:val="300" w:hRule="atLeast"/>
        </w:trPr>
        <w:tc>
          <w:tcPr>
            <w:tcW w:w="1715" w:type="dxa"/>
            <w:tcBorders/>
            <w:shd w:color="auto" w:fill="FFFFFF" w:themeFill="background1" w:val="clear"/>
            <w:vAlign w:val="bottom"/>
          </w:tcPr>
          <w:p>
            <w:pPr>
              <w:pStyle w:val="Normal"/>
              <w:spacing w:lineRule="auto" w:line="276"/>
              <w:rPr>
                <w:rFonts w:ascii="Book Antiqua" w:hAnsi="Book Antiqua" w:cs="Arial"/>
                <w:bCs/>
                <w:color w:val="000000"/>
                <w:sz w:val="22"/>
                <w:szCs w:val="22"/>
                <w:lang w:eastAsia="pt-BR"/>
              </w:rPr>
            </w:pPr>
            <w:r>
              <w:rPr>
                <w:rFonts w:cs="Arial" w:ascii="Book Antiqua" w:hAnsi="Book Antiqua"/>
                <w:b w:val="false"/>
                <w:bCs/>
                <w:color w:val="000000"/>
                <w:sz w:val="22"/>
                <w:szCs w:val="22"/>
                <w:lang w:eastAsia="pt-BR"/>
              </w:rPr>
              <w:t>Processo nº:</w:t>
            </w:r>
          </w:p>
        </w:tc>
        <w:tc>
          <w:tcPr>
            <w:tcW w:w="6804" w:type="dxa"/>
            <w:tcBorders/>
            <w:shd w:color="auto" w:fill="FFFFFF" w:themeFill="background1" w:val="clear"/>
            <w:vAlign w:val="bottom"/>
          </w:tcPr>
          <w:p>
            <w:pPr>
              <w:pStyle w:val="Normal"/>
              <w:spacing w:lineRule="auto" w:line="276"/>
              <w:rPr>
                <w:rFonts w:ascii="Book Antiqua" w:hAnsi="Book Antiqua" w:cs="Arial"/>
                <w:b w:val="false"/>
                <w:b w:val="false"/>
                <w:color w:val="000000"/>
                <w:sz w:val="22"/>
                <w:szCs w:val="22"/>
                <w:lang w:eastAsia="pt-BR"/>
              </w:rPr>
            </w:pPr>
            <w:r>
              <w:rPr>
                <w:rFonts w:cs="Arial" w:ascii="Book Antiqua" w:hAnsi="Book Antiqua"/>
                <w:b w:val="false"/>
                <w:color w:val="000000"/>
                <w:sz w:val="22"/>
                <w:szCs w:val="22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1715" w:type="dxa"/>
            <w:tcBorders/>
            <w:shd w:color="auto" w:fill="FFFFFF" w:themeFill="background1" w:val="clear"/>
            <w:vAlign w:val="bottom"/>
          </w:tcPr>
          <w:p>
            <w:pPr>
              <w:pStyle w:val="Normal"/>
              <w:spacing w:lineRule="auto" w:line="276"/>
              <w:rPr>
                <w:rFonts w:ascii="Book Antiqua" w:hAnsi="Book Antiqua" w:cs="Arial"/>
                <w:bCs/>
                <w:color w:val="000000"/>
                <w:sz w:val="22"/>
                <w:szCs w:val="22"/>
                <w:lang w:eastAsia="pt-BR"/>
              </w:rPr>
            </w:pPr>
            <w:r>
              <w:rPr>
                <w:rFonts w:cs="Arial" w:ascii="Book Antiqua" w:hAnsi="Book Antiqua"/>
                <w:b w:val="false"/>
                <w:bCs/>
                <w:color w:val="000000"/>
                <w:sz w:val="22"/>
                <w:szCs w:val="22"/>
                <w:lang w:eastAsia="pt-BR"/>
              </w:rPr>
              <w:t>Contrato nº:</w:t>
            </w:r>
          </w:p>
        </w:tc>
        <w:tc>
          <w:tcPr>
            <w:tcW w:w="6804" w:type="dxa"/>
            <w:tcBorders/>
            <w:shd w:color="auto" w:fill="FFFFFF" w:themeFill="background1" w:val="clear"/>
            <w:vAlign w:val="bottom"/>
          </w:tcPr>
          <w:p>
            <w:pPr>
              <w:pStyle w:val="Normal"/>
              <w:spacing w:lineRule="auto" w:line="276"/>
              <w:rPr>
                <w:rFonts w:ascii="Book Antiqua" w:hAnsi="Book Antiqua" w:cs="Arial"/>
                <w:b w:val="false"/>
                <w:b w:val="false"/>
                <w:color w:val="000000"/>
                <w:sz w:val="22"/>
                <w:szCs w:val="22"/>
                <w:lang w:eastAsia="pt-BR"/>
              </w:rPr>
            </w:pPr>
            <w:r>
              <w:rPr>
                <w:rFonts w:cs="Arial" w:ascii="Book Antiqua" w:hAnsi="Book Antiqua"/>
                <w:b w:val="false"/>
                <w:color w:val="000000"/>
                <w:sz w:val="22"/>
                <w:szCs w:val="22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1715" w:type="dxa"/>
            <w:tcBorders/>
            <w:shd w:color="auto" w:fill="FFFFFF" w:themeFill="background1" w:val="clear"/>
            <w:vAlign w:val="bottom"/>
          </w:tcPr>
          <w:p>
            <w:pPr>
              <w:pStyle w:val="Normal"/>
              <w:spacing w:lineRule="auto" w:line="276"/>
              <w:rPr>
                <w:rFonts w:ascii="Book Antiqua" w:hAnsi="Book Antiqua" w:cs="Arial"/>
                <w:bCs/>
                <w:color w:val="000000"/>
                <w:sz w:val="22"/>
                <w:szCs w:val="22"/>
                <w:lang w:eastAsia="pt-BR"/>
              </w:rPr>
            </w:pPr>
            <w:r>
              <w:rPr>
                <w:rFonts w:cs="Arial" w:ascii="Book Antiqua" w:hAnsi="Book Antiqua"/>
                <w:b w:val="false"/>
                <w:bCs/>
                <w:color w:val="000000"/>
                <w:sz w:val="22"/>
                <w:szCs w:val="22"/>
                <w:lang w:eastAsia="pt-BR"/>
              </w:rPr>
              <w:t>Fornecedor:</w:t>
            </w:r>
          </w:p>
        </w:tc>
        <w:tc>
          <w:tcPr>
            <w:tcW w:w="6804" w:type="dxa"/>
            <w:tcBorders/>
            <w:shd w:color="auto" w:fill="FFFFFF" w:themeFill="background1" w:val="clear"/>
            <w:vAlign w:val="bottom"/>
          </w:tcPr>
          <w:p>
            <w:pPr>
              <w:pStyle w:val="Normal"/>
              <w:spacing w:lineRule="auto" w:line="276"/>
              <w:rPr>
                <w:rFonts w:ascii="Book Antiqua" w:hAnsi="Book Antiqua" w:cs="Arial"/>
                <w:b w:val="false"/>
                <w:b w:val="false"/>
                <w:color w:val="000000"/>
                <w:sz w:val="22"/>
                <w:szCs w:val="22"/>
                <w:lang w:eastAsia="pt-BR"/>
              </w:rPr>
            </w:pPr>
            <w:r>
              <w:rPr>
                <w:rFonts w:cs="Arial" w:ascii="Book Antiqua" w:hAnsi="Book Antiqua"/>
                <w:b w:val="false"/>
                <w:color w:val="000000"/>
                <w:sz w:val="22"/>
                <w:szCs w:val="22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1715" w:type="dxa"/>
            <w:tcBorders/>
            <w:shd w:color="auto" w:fill="FFFFFF" w:themeFill="background1" w:val="clear"/>
            <w:vAlign w:val="bottom"/>
          </w:tcPr>
          <w:p>
            <w:pPr>
              <w:pStyle w:val="Normal"/>
              <w:spacing w:lineRule="auto" w:line="276"/>
              <w:rPr>
                <w:rFonts w:ascii="Book Antiqua" w:hAnsi="Book Antiqua" w:cs="Arial"/>
                <w:bCs/>
                <w:color w:val="000000"/>
                <w:sz w:val="22"/>
                <w:szCs w:val="22"/>
                <w:lang w:eastAsia="pt-BR"/>
              </w:rPr>
            </w:pPr>
            <w:r>
              <w:rPr>
                <w:rFonts w:cs="Arial" w:ascii="Book Antiqua" w:hAnsi="Book Antiqua"/>
                <w:b w:val="false"/>
                <w:bCs/>
                <w:color w:val="000000"/>
                <w:sz w:val="22"/>
                <w:szCs w:val="22"/>
                <w:lang w:eastAsia="pt-BR"/>
              </w:rPr>
              <w:t>CNPJ nº:</w:t>
            </w:r>
          </w:p>
        </w:tc>
        <w:tc>
          <w:tcPr>
            <w:tcW w:w="6804" w:type="dxa"/>
            <w:tcBorders/>
            <w:shd w:color="auto" w:fill="FFFFFF" w:themeFill="background1" w:val="clear"/>
            <w:vAlign w:val="bottom"/>
          </w:tcPr>
          <w:p>
            <w:pPr>
              <w:pStyle w:val="Normal"/>
              <w:spacing w:lineRule="auto" w:line="276"/>
              <w:rPr>
                <w:rFonts w:ascii="Book Antiqua" w:hAnsi="Book Antiqua" w:cs="Arial"/>
                <w:b w:val="false"/>
                <w:b w:val="false"/>
                <w:color w:val="000000"/>
                <w:sz w:val="22"/>
                <w:szCs w:val="22"/>
                <w:lang w:eastAsia="pt-BR"/>
              </w:rPr>
            </w:pPr>
            <w:r>
              <w:rPr>
                <w:rFonts w:cs="Arial" w:ascii="Book Antiqua" w:hAnsi="Book Antiqua"/>
                <w:b w:val="false"/>
                <w:color w:val="000000"/>
                <w:sz w:val="22"/>
                <w:szCs w:val="22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1715" w:type="dxa"/>
            <w:tcBorders/>
            <w:shd w:color="auto" w:fill="FFFFFF" w:themeFill="background1" w:val="clear"/>
            <w:vAlign w:val="bottom"/>
          </w:tcPr>
          <w:p>
            <w:pPr>
              <w:pStyle w:val="Normal"/>
              <w:spacing w:lineRule="auto" w:line="276"/>
              <w:rPr>
                <w:rFonts w:ascii="Book Antiqua" w:hAnsi="Book Antiqua" w:cs="Arial"/>
                <w:bCs/>
                <w:color w:val="000000"/>
                <w:sz w:val="22"/>
                <w:szCs w:val="22"/>
                <w:lang w:eastAsia="pt-BR"/>
              </w:rPr>
            </w:pPr>
            <w:r>
              <w:rPr>
                <w:rFonts w:cs="Arial" w:ascii="Book Antiqua" w:hAnsi="Book Antiqua"/>
                <w:b w:val="false"/>
                <w:bCs/>
                <w:color w:val="000000"/>
                <w:sz w:val="22"/>
                <w:szCs w:val="22"/>
                <w:lang w:eastAsia="pt-BR"/>
              </w:rPr>
              <w:t>Relatório nº:</w:t>
            </w:r>
          </w:p>
        </w:tc>
        <w:tc>
          <w:tcPr>
            <w:tcW w:w="6804" w:type="dxa"/>
            <w:tcBorders/>
            <w:shd w:color="auto" w:fill="FFFFFF" w:themeFill="background1" w:val="clear"/>
            <w:vAlign w:val="bottom"/>
          </w:tcPr>
          <w:p>
            <w:pPr>
              <w:pStyle w:val="Normal"/>
              <w:spacing w:lineRule="auto" w:line="276"/>
              <w:rPr>
                <w:rFonts w:ascii="Book Antiqua" w:hAnsi="Book Antiqua" w:cs="Arial"/>
                <w:b w:val="false"/>
                <w:b w:val="false"/>
                <w:color w:val="000000"/>
                <w:sz w:val="22"/>
                <w:szCs w:val="22"/>
                <w:lang w:eastAsia="pt-BR"/>
              </w:rPr>
            </w:pPr>
            <w:r>
              <w:rPr>
                <w:rFonts w:cs="Arial" w:ascii="Book Antiqua" w:hAnsi="Book Antiqua"/>
                <w:b w:val="false"/>
                <w:color w:val="000000"/>
                <w:sz w:val="22"/>
                <w:szCs w:val="22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1715" w:type="dxa"/>
            <w:tcBorders/>
            <w:shd w:color="auto" w:fill="FFFFFF" w:themeFill="background1" w:val="clear"/>
            <w:vAlign w:val="bottom"/>
          </w:tcPr>
          <w:p>
            <w:pPr>
              <w:pStyle w:val="Normal"/>
              <w:spacing w:lineRule="auto" w:line="276"/>
              <w:rPr>
                <w:rFonts w:ascii="Book Antiqua" w:hAnsi="Book Antiqua" w:cs="Arial"/>
                <w:bCs/>
                <w:color w:val="000000"/>
                <w:sz w:val="22"/>
                <w:szCs w:val="22"/>
                <w:lang w:eastAsia="pt-BR"/>
              </w:rPr>
            </w:pPr>
            <w:r>
              <w:rPr>
                <w:rFonts w:cs="Arial" w:ascii="Book Antiqua" w:hAnsi="Book Antiqua"/>
                <w:b w:val="false"/>
                <w:bCs/>
                <w:color w:val="000000"/>
                <w:sz w:val="22"/>
                <w:szCs w:val="22"/>
                <w:lang w:eastAsia="pt-BR"/>
              </w:rPr>
              <w:t>MÊS REF.:</w:t>
            </w:r>
          </w:p>
        </w:tc>
        <w:tc>
          <w:tcPr>
            <w:tcW w:w="6804" w:type="dxa"/>
            <w:tcBorders/>
            <w:shd w:color="auto" w:fill="FFFFFF" w:themeFill="background1" w:val="clear"/>
            <w:vAlign w:val="bottom"/>
          </w:tcPr>
          <w:p>
            <w:pPr>
              <w:pStyle w:val="Normal"/>
              <w:spacing w:lineRule="auto" w:line="276"/>
              <w:rPr>
                <w:rFonts w:ascii="Book Antiqua" w:hAnsi="Book Antiqua" w:cs="Arial"/>
                <w:b w:val="false"/>
                <w:b w:val="false"/>
                <w:color w:val="000000"/>
                <w:sz w:val="22"/>
                <w:szCs w:val="22"/>
                <w:lang w:eastAsia="pt-BR"/>
              </w:rPr>
            </w:pPr>
            <w:bookmarkStart w:id="0" w:name="_GoBack"/>
            <w:bookmarkStart w:id="1" w:name="_GoBack"/>
            <w:bookmarkEnd w:id="1"/>
            <w:r>
              <w:rPr>
                <w:rFonts w:cs="Arial" w:ascii="Book Antiqua" w:hAnsi="Book Antiqua"/>
                <w:b w:val="false"/>
                <w:color w:val="000000"/>
                <w:sz w:val="22"/>
                <w:szCs w:val="22"/>
                <w:lang w:eastAsia="pt-BR"/>
              </w:rPr>
            </w:r>
          </w:p>
        </w:tc>
      </w:tr>
    </w:tbl>
    <w:p>
      <w:pPr>
        <w:pStyle w:val="Normal"/>
        <w:rPr>
          <w:rFonts w:ascii="Book Antiqua" w:hAnsi="Book Antiqua" w:cs="Arial"/>
          <w:b w:val="false"/>
          <w:b w:val="false"/>
          <w:sz w:val="22"/>
          <w:szCs w:val="22"/>
          <w:lang w:eastAsia="en-US"/>
        </w:rPr>
      </w:pPr>
      <w:r>
        <w:rPr>
          <w:rFonts w:cs="Arial" w:ascii="Book Antiqua" w:hAnsi="Book Antiqua"/>
          <w:b w:val="false"/>
          <w:sz w:val="22"/>
          <w:szCs w:val="22"/>
          <w:lang w:eastAsia="en-US"/>
        </w:rPr>
      </w:r>
    </w:p>
    <w:tbl>
      <w:tblPr>
        <w:tblStyle w:val="Tabelacomgrade"/>
        <w:tblW w:w="861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 w:noVBand="1" w:noHBand="0" w:lastColumn="0" w:firstColumn="1" w:lastRow="0" w:firstRow="1"/>
      </w:tblPr>
      <w:tblGrid>
        <w:gridCol w:w="8612"/>
      </w:tblGrid>
      <w:tr>
        <w:trPr/>
        <w:tc>
          <w:tcPr>
            <w:tcW w:w="8612" w:type="dxa"/>
            <w:tcBorders/>
            <w:shd w:color="auto" w:fill="A6A6A6" w:themeFill="background1" w:themeFillShade="a6" w:val="clear"/>
            <w:tcMar>
              <w:left w:w="108" w:type="dxa"/>
            </w:tcMar>
          </w:tcPr>
          <w:p>
            <w:pPr>
              <w:pStyle w:val="ListParagraph"/>
              <w:widowControl/>
              <w:numPr>
                <w:ilvl w:val="0"/>
                <w:numId w:val="1"/>
              </w:numPr>
              <w:suppressAutoHyphens w:val="false"/>
              <w:spacing w:lineRule="auto" w:line="240" w:before="0" w:after="0"/>
              <w:contextualSpacing/>
              <w:rPr>
                <w:rFonts w:ascii="Book Antiqua" w:hAnsi="Book Antiqua" w:cs="Arial"/>
                <w:lang w:eastAsia="en-US"/>
              </w:rPr>
            </w:pPr>
            <w:r>
              <w:rPr>
                <w:rFonts w:cs="Arial" w:ascii="Book Antiqua" w:hAnsi="Book Antiqua"/>
              </w:rPr>
              <w:t>OCORRÊNCIAS:</w:t>
            </w:r>
          </w:p>
        </w:tc>
      </w:tr>
      <w:tr>
        <w:trPr/>
        <w:tc>
          <w:tcPr>
            <w:tcW w:w="8612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b w:val="false"/>
                <w:b w:val="false"/>
              </w:rPr>
            </w:pPr>
            <w:r>
              <w:rPr>
                <w:rFonts w:cs="Arial" w:ascii="Book Antiqua" w:hAnsi="Book Antiqua"/>
                <w:b w:val="false"/>
              </w:rPr>
              <w:t>(descreva)</w:t>
            </w:r>
          </w:p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lang w:eastAsia="en-US"/>
              </w:rPr>
            </w:pPr>
            <w:r>
              <w:rPr>
                <w:rFonts w:cs="Arial" w:ascii="Book Antiqua" w:hAnsi="Book Antiqua"/>
                <w:lang w:eastAsia="en-US"/>
              </w:rPr>
            </w:r>
          </w:p>
        </w:tc>
      </w:tr>
      <w:tr>
        <w:trPr/>
        <w:tc>
          <w:tcPr>
            <w:tcW w:w="8612" w:type="dxa"/>
            <w:tcBorders/>
            <w:shd w:color="auto" w:fill="A6A6A6" w:themeFill="background1" w:themeFillShade="a6" w:val="clear"/>
            <w:tcMar>
              <w:left w:w="108" w:type="dxa"/>
            </w:tcMar>
          </w:tcPr>
          <w:p>
            <w:pPr>
              <w:pStyle w:val="ListParagraph"/>
              <w:widowControl/>
              <w:numPr>
                <w:ilvl w:val="0"/>
                <w:numId w:val="1"/>
              </w:numPr>
              <w:suppressAutoHyphens w:val="false"/>
              <w:spacing w:lineRule="auto" w:line="240" w:before="0" w:after="0"/>
              <w:contextualSpacing/>
              <w:rPr>
                <w:rFonts w:ascii="Book Antiqua" w:hAnsi="Book Antiqua" w:cs="Arial"/>
                <w:lang w:eastAsia="en-US"/>
              </w:rPr>
            </w:pPr>
            <w:r>
              <w:rPr>
                <w:rFonts w:cs="Arial" w:ascii="Book Antiqua" w:hAnsi="Book Antiqua"/>
              </w:rPr>
              <w:t>AVALIAÇÕES DOS SERVIÇOS PRESTADOS:</w:t>
            </w:r>
          </w:p>
        </w:tc>
      </w:tr>
      <w:tr>
        <w:trPr/>
        <w:tc>
          <w:tcPr>
            <w:tcW w:w="8612" w:type="dxa"/>
            <w:tcBorders/>
            <w:shd w:fill="auto" w:val="clear"/>
            <w:tcMar>
              <w:left w:w="108" w:type="dxa"/>
            </w:tcMar>
          </w:tcPr>
          <w:p>
            <w:pPr>
              <w:pStyle w:val="ListParagraph"/>
              <w:spacing w:lineRule="auto" w:line="240" w:before="0" w:after="0"/>
              <w:contextualSpacing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b w:val="false"/>
                <w:b w:val="false"/>
              </w:rPr>
            </w:pPr>
            <w:r>
              <w:rPr>
                <w:rFonts w:cs="Arial" w:ascii="Book Antiqua" w:hAnsi="Book Antiqua"/>
                <w:b w:val="false"/>
              </w:rPr>
              <w:t>(descreva)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rFonts w:ascii="Book Antiqua" w:hAnsi="Book Antiqua" w:cs="Arial"/>
                <w:lang w:eastAsia="en-US"/>
              </w:rPr>
            </w:pPr>
            <w:r>
              <w:rPr>
                <w:rFonts w:cs="Arial" w:ascii="Book Antiqua" w:hAnsi="Book Antiqua"/>
                <w:lang w:eastAsia="en-US"/>
              </w:rPr>
            </w:r>
          </w:p>
        </w:tc>
      </w:tr>
      <w:tr>
        <w:trPr/>
        <w:tc>
          <w:tcPr>
            <w:tcW w:w="8612" w:type="dxa"/>
            <w:tcBorders/>
            <w:shd w:color="auto" w:fill="A6A6A6" w:themeFill="background1" w:themeFillShade="a6" w:val="clear"/>
            <w:tcMar>
              <w:left w:w="108" w:type="dxa"/>
            </w:tcMar>
          </w:tcPr>
          <w:p>
            <w:pPr>
              <w:pStyle w:val="ListParagraph"/>
              <w:widowControl/>
              <w:numPr>
                <w:ilvl w:val="0"/>
                <w:numId w:val="1"/>
              </w:numPr>
              <w:suppressAutoHyphens w:val="false"/>
              <w:spacing w:lineRule="auto" w:line="240" w:before="0" w:after="0"/>
              <w:contextualSpacing/>
              <w:rPr>
                <w:rFonts w:ascii="Book Antiqua" w:hAnsi="Book Antiqua" w:cs="Arial"/>
                <w:lang w:eastAsia="en-US"/>
              </w:rPr>
            </w:pPr>
            <w:r>
              <w:rPr>
                <w:rFonts w:cs="Arial" w:ascii="Book Antiqua" w:hAnsi="Book Antiqua"/>
              </w:rPr>
              <w:t>OBSERVAÇÕES/SUGESTÕES/RECLAMAÇÕES</w:t>
            </w:r>
          </w:p>
        </w:tc>
      </w:tr>
      <w:tr>
        <w:trPr/>
        <w:tc>
          <w:tcPr>
            <w:tcW w:w="8612" w:type="dxa"/>
            <w:tcBorders/>
            <w:shd w:color="auto" w:fill="FFFFFF" w:themeFill="background1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b w:val="false"/>
                <w:b w:val="false"/>
              </w:rPr>
            </w:pPr>
            <w:r>
              <w:rPr>
                <w:rFonts w:cs="Arial" w:ascii="Book Antiqua" w:hAnsi="Book Antiqua"/>
                <w:b w:val="false"/>
              </w:rPr>
              <w:t>(descreva)</w:t>
            </w:r>
          </w:p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rFonts w:ascii="Book Antiqua" w:hAnsi="Book Antiqua" w:cs="Arial"/>
                <w:lang w:eastAsia="en-US"/>
              </w:rPr>
            </w:pPr>
            <w:r>
              <w:rPr>
                <w:rFonts w:cs="Arial" w:ascii="Book Antiqua" w:hAnsi="Book Antiqua"/>
                <w:lang w:eastAsia="en-US"/>
              </w:rPr>
            </w:r>
          </w:p>
        </w:tc>
      </w:tr>
    </w:tbl>
    <w:p>
      <w:pPr>
        <w:pStyle w:val="Normal"/>
        <w:rPr>
          <w:rFonts w:ascii="Book Antiqua" w:hAnsi="Book Antiqua" w:cs="Arial"/>
          <w:sz w:val="22"/>
          <w:szCs w:val="22"/>
          <w:lang w:eastAsia="en-US"/>
        </w:rPr>
      </w:pPr>
      <w:r>
        <w:rPr>
          <w:rFonts w:cs="Arial" w:ascii="Book Antiqua" w:hAnsi="Book Antiqua"/>
          <w:sz w:val="22"/>
          <w:szCs w:val="22"/>
          <w:lang w:eastAsia="en-US"/>
        </w:rPr>
      </w:r>
    </w:p>
    <w:p>
      <w:pPr>
        <w:pStyle w:val="Normal"/>
        <w:rPr>
          <w:rFonts w:ascii="Book Antiqua" w:hAnsi="Book Antiqua" w:cs="Arial"/>
          <w:b w:val="false"/>
          <w:b w:val="false"/>
          <w:sz w:val="22"/>
          <w:szCs w:val="22"/>
        </w:rPr>
      </w:pPr>
      <w:r>
        <w:rPr>
          <w:rFonts w:cs="Arial" w:ascii="Book Antiqua" w:hAnsi="Book Antiqua"/>
          <w:b w:val="false"/>
          <w:sz w:val="22"/>
          <w:szCs w:val="22"/>
        </w:rPr>
        <w:t>Encaminha-se a Gestão de Contratos para providências.</w:t>
      </w:r>
    </w:p>
    <w:p>
      <w:pPr>
        <w:pStyle w:val="Normal"/>
        <w:rPr>
          <w:rFonts w:ascii="Book Antiqua" w:hAnsi="Book Antiqua" w:cs="Arial"/>
          <w:sz w:val="22"/>
          <w:szCs w:val="22"/>
        </w:rPr>
      </w:pPr>
      <w:r>
        <w:rPr>
          <w:rFonts w:cs="Arial" w:ascii="Book Antiqua" w:hAnsi="Book Antiqua"/>
          <w:sz w:val="22"/>
          <w:szCs w:val="22"/>
        </w:rPr>
      </w:r>
    </w:p>
    <w:p>
      <w:pPr>
        <w:pStyle w:val="Normal"/>
        <w:rPr>
          <w:rFonts w:ascii="Book Antiqua" w:hAnsi="Book Antiqua" w:cs="Arial"/>
          <w:sz w:val="22"/>
          <w:szCs w:val="22"/>
        </w:rPr>
      </w:pPr>
      <w:r>
        <w:rPr>
          <w:rFonts w:cs="Arial" w:ascii="Book Antiqua" w:hAnsi="Book Antiqua"/>
          <w:sz w:val="22"/>
          <w:szCs w:val="22"/>
        </w:rPr>
      </w:r>
    </w:p>
    <w:p>
      <w:pPr>
        <w:pStyle w:val="Normal"/>
        <w:jc w:val="right"/>
        <w:rPr>
          <w:rFonts w:ascii="Book Antiqua" w:hAnsi="Book Antiqua" w:cs="Arial"/>
          <w:sz w:val="22"/>
          <w:szCs w:val="22"/>
        </w:rPr>
      </w:pPr>
      <w:r>
        <w:rPr>
          <w:rFonts w:cs="Arial" w:ascii="Book Antiqua" w:hAnsi="Book Antiqua"/>
          <w:sz w:val="22"/>
          <w:szCs w:val="22"/>
        </w:rPr>
        <w:t>___________, ___ de ______ de _________</w:t>
      </w:r>
    </w:p>
    <w:p>
      <w:pPr>
        <w:pStyle w:val="Normal"/>
        <w:rPr>
          <w:rFonts w:ascii="Book Antiqua" w:hAnsi="Book Antiqua" w:cs="Arial"/>
          <w:sz w:val="22"/>
          <w:szCs w:val="22"/>
        </w:rPr>
      </w:pPr>
      <w:r>
        <w:rPr>
          <w:rFonts w:cs="Arial" w:ascii="Book Antiqua" w:hAnsi="Book Antiqua"/>
          <w:sz w:val="22"/>
          <w:szCs w:val="22"/>
        </w:rPr>
      </w:r>
    </w:p>
    <w:p>
      <w:pPr>
        <w:pStyle w:val="Normal"/>
        <w:rPr>
          <w:rFonts w:ascii="Book Antiqua" w:hAnsi="Book Antiqua" w:cs="Arial"/>
          <w:sz w:val="22"/>
          <w:szCs w:val="22"/>
        </w:rPr>
      </w:pPr>
      <w:r>
        <w:rPr>
          <w:rFonts w:cs="Arial" w:ascii="Book Antiqua" w:hAnsi="Book Antiqua"/>
          <w:sz w:val="22"/>
          <w:szCs w:val="22"/>
        </w:rPr>
      </w:r>
    </w:p>
    <w:p>
      <w:pPr>
        <w:pStyle w:val="Normal"/>
        <w:rPr>
          <w:rFonts w:ascii="Book Antiqua" w:hAnsi="Book Antiqua" w:cs="Arial"/>
          <w:sz w:val="22"/>
          <w:szCs w:val="22"/>
        </w:rPr>
      </w:pPr>
      <w:r>
        <w:rPr>
          <w:rFonts w:cs="Arial" w:ascii="Book Antiqua" w:hAnsi="Book Antiqua"/>
          <w:sz w:val="22"/>
          <w:szCs w:val="22"/>
        </w:rPr>
      </w:r>
    </w:p>
    <w:p>
      <w:pPr>
        <w:pStyle w:val="Normal"/>
        <w:rPr>
          <w:rFonts w:ascii="Book Antiqua" w:hAnsi="Book Antiqua" w:cs="Arial"/>
          <w:sz w:val="22"/>
          <w:szCs w:val="22"/>
        </w:rPr>
      </w:pPr>
      <w:r>
        <w:rPr>
          <w:rFonts w:cs="Arial" w:ascii="Book Antiqua" w:hAnsi="Book Antiqua"/>
          <w:sz w:val="22"/>
          <w:szCs w:val="22"/>
        </w:rPr>
      </w:r>
    </w:p>
    <w:p>
      <w:pPr>
        <w:pStyle w:val="Normal"/>
        <w:spacing w:lineRule="auto" w:line="240"/>
        <w:rPr>
          <w:rFonts w:ascii="Book Antiqua" w:hAnsi="Book Antiqua" w:cs="Arial"/>
          <w:sz w:val="22"/>
          <w:szCs w:val="22"/>
        </w:rPr>
      </w:pPr>
      <w:r>
        <w:rPr>
          <w:rFonts w:cs="Arial" w:ascii="Book Antiqua" w:hAnsi="Book Antiqua"/>
          <w:sz w:val="22"/>
          <w:szCs w:val="22"/>
        </w:rPr>
        <w:t>___________________________________</w:t>
      </w:r>
    </w:p>
    <w:p>
      <w:pPr>
        <w:pStyle w:val="Normal"/>
        <w:spacing w:lineRule="auto" w:line="240"/>
        <w:rPr>
          <w:rFonts w:ascii="Book Antiqua" w:hAnsi="Book Antiqua" w:cs="Arial"/>
          <w:sz w:val="22"/>
          <w:szCs w:val="22"/>
        </w:rPr>
      </w:pPr>
      <w:r>
        <w:rPr>
          <w:rFonts w:cs="Arial" w:ascii="Book Antiqua" w:hAnsi="Book Antiqua"/>
          <w:sz w:val="22"/>
          <w:szCs w:val="22"/>
        </w:rPr>
        <w:t>Fiscal de Contrato</w:t>
      </w:r>
    </w:p>
    <w:p>
      <w:pPr>
        <w:pStyle w:val="Normal"/>
        <w:spacing w:lineRule="auto" w:line="240"/>
        <w:rPr>
          <w:rFonts w:ascii="Book Antiqua" w:hAnsi="Book Antiqua" w:cs="Arial"/>
          <w:sz w:val="22"/>
          <w:szCs w:val="22"/>
        </w:rPr>
      </w:pPr>
      <w:r>
        <w:rPr>
          <w:rFonts w:cs="Arial" w:ascii="Book Antiqua" w:hAnsi="Book Antiqua"/>
          <w:sz w:val="22"/>
          <w:szCs w:val="22"/>
        </w:rPr>
        <w:t>Nome:</w:t>
      </w:r>
    </w:p>
    <w:p>
      <w:pPr>
        <w:pStyle w:val="Normal"/>
        <w:spacing w:lineRule="auto" w:line="240"/>
        <w:rPr>
          <w:rFonts w:ascii="Book Antiqua" w:hAnsi="Book Antiqua" w:cs="Arial"/>
          <w:sz w:val="22"/>
          <w:szCs w:val="22"/>
        </w:rPr>
      </w:pPr>
      <w:r>
        <w:rPr>
          <w:rFonts w:cs="Arial" w:ascii="Book Antiqua" w:hAnsi="Book Antiqua"/>
          <w:sz w:val="22"/>
          <w:szCs w:val="22"/>
        </w:rPr>
        <w:t>SIAPE:</w:t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708" w:top="1417" w:footer="708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Arial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Book Antiqua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jc w:val="center"/>
      <w:rPr>
        <w:rFonts w:cs="Arial"/>
        <w:b w:val="false"/>
        <w:b w:val="false"/>
        <w:sz w:val="16"/>
        <w:szCs w:val="16"/>
      </w:rPr>
    </w:pPr>
    <w:r>
      <w:rPr>
        <w:rFonts w:cs="Arial"/>
        <w:b w:val="false"/>
        <w:sz w:val="16"/>
        <w:szCs w:val="16"/>
      </w:rPr>
      <w:t>Rua Esmeralda, 430 – Faixa Nova –Camobi – 97110-767 – Santa Maria – RS</w:t>
    </w:r>
  </w:p>
  <w:p>
    <w:pPr>
      <w:pStyle w:val="Normal"/>
      <w:jc w:val="center"/>
      <w:rPr>
        <w:rFonts w:cs="Arial"/>
        <w:b w:val="false"/>
        <w:b w:val="false"/>
        <w:sz w:val="16"/>
        <w:szCs w:val="16"/>
      </w:rPr>
    </w:pPr>
    <w:r>
      <w:rPr>
        <w:rFonts w:cs="Arial"/>
        <w:b w:val="false"/>
        <w:sz w:val="16"/>
        <w:szCs w:val="16"/>
      </w:rPr>
      <w:t>Fone: (55) 3218 9800</w:t>
    </w:r>
  </w:p>
  <w:p>
    <w:pPr>
      <w:pStyle w:val="Normal"/>
      <w:jc w:val="center"/>
      <w:rPr>
        <w:rFonts w:cs="Arial"/>
        <w:b w:val="false"/>
        <w:b w:val="false"/>
        <w:sz w:val="16"/>
        <w:szCs w:val="16"/>
      </w:rPr>
    </w:pPr>
    <w:r>
      <w:rPr>
        <w:rFonts w:cs="Arial"/>
        <w:b w:val="false"/>
        <w:sz w:val="16"/>
        <w:szCs w:val="16"/>
      </w:rPr>
      <w:t>e-mail contratos@iffarroupilha.edu.br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tabs>
        <w:tab w:val="left" w:pos="0" w:leader="none"/>
        <w:tab w:val="center" w:pos="4252" w:leader="none"/>
        <w:tab w:val="right" w:pos="8504" w:leader="none"/>
      </w:tabs>
      <w:jc w:val="center"/>
      <w:rPr>
        <w:b w:val="false"/>
        <w:b w:val="false"/>
      </w:rPr>
    </w:pPr>
    <w:r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-40005</wp:posOffset>
          </wp:positionH>
          <wp:positionV relativeFrom="paragraph">
            <wp:posOffset>-134620</wp:posOffset>
          </wp:positionV>
          <wp:extent cx="678815" cy="705485"/>
          <wp:effectExtent l="0" t="0" r="0" b="0"/>
          <wp:wrapTopAndBottom/>
          <wp:docPr id="1" name="Imagem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8815" cy="705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5661660</wp:posOffset>
          </wp:positionH>
          <wp:positionV relativeFrom="paragraph">
            <wp:posOffset>-87630</wp:posOffset>
          </wp:positionV>
          <wp:extent cx="579120" cy="657225"/>
          <wp:effectExtent l="0" t="0" r="0" b="0"/>
          <wp:wrapSquare wrapText="bothSides"/>
          <wp:docPr id="2" name="Imagem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579120" cy="657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 w:val="false"/>
        <w:bCs/>
        <w:sz w:val="18"/>
        <w:szCs w:val="18"/>
      </w:rPr>
      <w:t>S</w:t>
    </w:r>
    <w:r>
      <w:rPr>
        <w:b w:val="false"/>
        <w:bCs/>
        <w:sz w:val="18"/>
        <w:szCs w:val="18"/>
      </w:rPr>
      <w:t>ERVIÇO PÚBLICO FEDERAL</w:t>
    </w:r>
  </w:p>
  <w:p>
    <w:pPr>
      <w:pStyle w:val="Cabealho"/>
      <w:tabs>
        <w:tab w:val="left" w:pos="0" w:leader="none"/>
        <w:tab w:val="center" w:pos="4252" w:leader="none"/>
        <w:tab w:val="right" w:pos="8504" w:leader="none"/>
      </w:tabs>
      <w:jc w:val="center"/>
      <w:rPr>
        <w:b w:val="false"/>
        <w:b w:val="false"/>
        <w:sz w:val="18"/>
        <w:szCs w:val="18"/>
      </w:rPr>
    </w:pPr>
    <w:r>
      <w:rPr>
        <w:b w:val="false"/>
        <w:sz w:val="18"/>
        <w:szCs w:val="18"/>
      </w:rPr>
      <w:t>MINISTÉRIO DA EDUCAÇÃO</w:t>
    </w:r>
  </w:p>
  <w:p>
    <w:pPr>
      <w:pStyle w:val="Cabealho"/>
      <w:tabs>
        <w:tab w:val="left" w:pos="0" w:leader="none"/>
        <w:tab w:val="center" w:pos="4252" w:leader="none"/>
        <w:tab w:val="right" w:pos="8504" w:leader="none"/>
      </w:tabs>
      <w:jc w:val="center"/>
      <w:rPr>
        <w:b w:val="false"/>
        <w:b w:val="false"/>
        <w:sz w:val="18"/>
        <w:szCs w:val="18"/>
      </w:rPr>
    </w:pPr>
    <w:r>
      <w:rPr>
        <w:b w:val="false"/>
        <w:sz w:val="18"/>
        <w:szCs w:val="18"/>
      </w:rPr>
      <w:t>SECRETARIA DE EDUCAÇÃO PROFISSIONAL E TECNOLÓGICA</w:t>
    </w:r>
  </w:p>
  <w:p>
    <w:pPr>
      <w:pStyle w:val="Cabealho"/>
      <w:tabs>
        <w:tab w:val="left" w:pos="0" w:leader="none"/>
        <w:tab w:val="center" w:pos="4252" w:leader="none"/>
        <w:tab w:val="right" w:pos="8504" w:leader="none"/>
      </w:tabs>
      <w:jc w:val="center"/>
      <w:rPr>
        <w:b w:val="false"/>
        <w:b w:val="false"/>
        <w:sz w:val="18"/>
        <w:szCs w:val="18"/>
      </w:rPr>
    </w:pPr>
    <w:r>
      <w:rPr>
        <w:b w:val="false"/>
        <w:sz w:val="18"/>
        <w:szCs w:val="18"/>
      </w:rPr>
      <w:t>INSTITUTO FEDERAL FARROUPILHA – REITORIA</w:t>
    </w:r>
  </w:p>
  <w:p>
    <w:pPr>
      <w:pStyle w:val="Cabealho"/>
      <w:tabs>
        <w:tab w:val="left" w:pos="0" w:leader="none"/>
        <w:tab w:val="center" w:pos="4252" w:leader="none"/>
        <w:tab w:val="right" w:pos="8504" w:leader="none"/>
      </w:tabs>
      <w:jc w:val="center"/>
      <w:rPr>
        <w:b w:val="false"/>
        <w:b w:val="false"/>
        <w:sz w:val="18"/>
        <w:szCs w:val="18"/>
      </w:rPr>
    </w:pPr>
    <w:r>
      <w:rPr>
        <w:b w:val="false"/>
        <w:sz w:val="18"/>
        <w:szCs w:val="18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false"/>
  <w:compat>
    <w:compatSetting w:name="compatibilityMode" w:uri="http://schemas.microsoft.com/office/word" w:val="12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t-BR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04ce8"/>
    <w:pPr>
      <w:widowControl w:val="false"/>
      <w:suppressAutoHyphens w:val="true"/>
      <w:bidi w:val="0"/>
      <w:spacing w:lineRule="auto" w:line="360" w:before="0" w:after="0"/>
      <w:jc w:val="left"/>
    </w:pPr>
    <w:rPr>
      <w:rFonts w:ascii="Arial" w:hAnsi="Arial" w:eastAsia="SimSun" w:cs="Mangal"/>
      <w:b/>
      <w:color w:val="auto"/>
      <w:sz w:val="24"/>
      <w:szCs w:val="24"/>
      <w:lang w:eastAsia="hi-IN" w:bidi="hi-IN" w:val="pt-BR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link w:val="Cabealho"/>
    <w:qFormat/>
    <w:rsid w:val="00a83ad9"/>
    <w:rPr/>
  </w:style>
  <w:style w:type="character" w:styleId="RodapChar" w:customStyle="1">
    <w:name w:val="Rodapé Char"/>
    <w:basedOn w:val="DefaultParagraphFont"/>
    <w:link w:val="Rodap"/>
    <w:uiPriority w:val="99"/>
    <w:qFormat/>
    <w:rsid w:val="00a83ad9"/>
    <w:rPr/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Arial Unicode MS" w:cs="Arial Unicode MS"/>
      <w:sz w:val="28"/>
      <w:szCs w:val="28"/>
    </w:rPr>
  </w:style>
  <w:style w:type="paragraph" w:styleId="Corpodetexto">
    <w:name w:val="Corpo de texto"/>
    <w:basedOn w:val="Normal"/>
    <w:pPr>
      <w:spacing w:lineRule="auto" w:line="288" w:before="0" w:after="140"/>
    </w:pPr>
    <w:rPr/>
  </w:style>
  <w:style w:type="paragraph" w:styleId="Lista">
    <w:name w:val="Lista"/>
    <w:basedOn w:val="Corpodetexto"/>
    <w:pPr/>
    <w:rPr/>
  </w:style>
  <w:style w:type="paragraph" w:styleId="Legenda">
    <w:name w:val="Legenda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/>
  </w:style>
  <w:style w:type="paragraph" w:styleId="ListParagraph">
    <w:name w:val="List Paragraph"/>
    <w:basedOn w:val="Normal"/>
    <w:uiPriority w:val="34"/>
    <w:qFormat/>
    <w:rsid w:val="00a83ad9"/>
    <w:pPr>
      <w:spacing w:before="0" w:after="0"/>
      <w:ind w:left="720" w:hanging="0"/>
      <w:contextualSpacing/>
    </w:pPr>
    <w:rPr/>
  </w:style>
  <w:style w:type="paragraph" w:styleId="Cabealho">
    <w:name w:val="Cabeçalho"/>
    <w:basedOn w:val="Normal"/>
    <w:link w:val="CabealhoChar"/>
    <w:unhideWhenUsed/>
    <w:rsid w:val="00a83ad9"/>
    <w:pPr>
      <w:tabs>
        <w:tab w:val="center" w:pos="4252" w:leader="none"/>
        <w:tab w:val="right" w:pos="8504" w:leader="none"/>
      </w:tabs>
      <w:spacing w:lineRule="auto" w:line="240"/>
    </w:pPr>
    <w:rPr/>
  </w:style>
  <w:style w:type="paragraph" w:styleId="Rodap">
    <w:name w:val="Rodapé"/>
    <w:basedOn w:val="Normal"/>
    <w:link w:val="RodapChar"/>
    <w:uiPriority w:val="99"/>
    <w:unhideWhenUsed/>
    <w:rsid w:val="00a83ad9"/>
    <w:pPr>
      <w:tabs>
        <w:tab w:val="center" w:pos="4252" w:leader="none"/>
        <w:tab w:val="right" w:pos="8504" w:leader="none"/>
      </w:tabs>
      <w:spacing w:lineRule="auto" w:line="240"/>
    </w:pPr>
    <w:rPr/>
  </w:style>
  <w:style w:type="numbering" w:styleId="NoList" w:default="1">
    <w:name w:val="No List"/>
    <w:uiPriority w:val="99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a83ad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wmf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99B5CD-6578-454A-9A60-2C88336C5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LibreOffice/5.0.5.2$MacOSX_X86_64 LibreOffice_project/55b006a02d247b5f7215fc6ea0fde844b30035b3</Application>
  <Paragraphs>1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2014-12-24T12:44:00Z</dcterms:created>
  <dc:creator>Setor de Compras Licitações</dc:creator>
  <dc:language>pt-BR</dc:language>
  <cp:lastModifiedBy>IFF - Sheila</cp:lastModifiedBy>
  <dcterms:modified xsi:type="dcterms:W3CDTF">2015-07-30T17:48:00Z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