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6A14" w:rsidRDefault="00186A14">
      <w:pPr>
        <w:rPr>
          <w:rFonts w:ascii="Arial" w:eastAsia="Arial" w:hAnsi="Arial" w:cs="Arial"/>
          <w:sz w:val="20"/>
          <w:szCs w:val="20"/>
        </w:rPr>
      </w:pPr>
    </w:p>
    <w:p w:rsidR="00186A14" w:rsidRDefault="005A6ED7">
      <w:pPr>
        <w:spacing w:after="120" w:line="276" w:lineRule="auto"/>
        <w:ind w:right="-15"/>
        <w:jc w:val="center"/>
        <w:rPr>
          <w:rFonts w:ascii="Arial" w:eastAsia="Arial" w:hAnsi="Arial" w:cs="Arial"/>
          <w:b/>
          <w:color w:val="000000"/>
          <w:sz w:val="20"/>
          <w:szCs w:val="20"/>
        </w:rPr>
      </w:pPr>
      <w:r>
        <w:rPr>
          <w:rFonts w:ascii="Arial" w:eastAsia="Arial" w:hAnsi="Arial" w:cs="Arial"/>
          <w:b/>
          <w:color w:val="000000"/>
          <w:sz w:val="20"/>
          <w:szCs w:val="20"/>
        </w:rPr>
        <w:t>MODELO DE PROJETO BÁSICO</w:t>
      </w:r>
    </w:p>
    <w:p w:rsidR="00186A14" w:rsidRDefault="005A6ED7">
      <w:pPr>
        <w:spacing w:after="120" w:line="276" w:lineRule="auto"/>
        <w:ind w:right="-15"/>
        <w:jc w:val="center"/>
        <w:rPr>
          <w:rFonts w:ascii="Arial" w:eastAsia="Arial" w:hAnsi="Arial" w:cs="Arial"/>
          <w:b/>
          <w:color w:val="000000"/>
          <w:sz w:val="20"/>
          <w:szCs w:val="20"/>
        </w:rPr>
      </w:pPr>
      <w:r>
        <w:rPr>
          <w:rFonts w:ascii="Arial" w:eastAsia="Arial" w:hAnsi="Arial" w:cs="Arial"/>
          <w:b/>
          <w:color w:val="000000"/>
          <w:sz w:val="20"/>
          <w:szCs w:val="20"/>
        </w:rPr>
        <w:t>OBRAS E SERVIÇOS DE ENGENHARIA</w:t>
      </w:r>
    </w:p>
    <w:p w:rsidR="00186A14" w:rsidRDefault="00186A14">
      <w:pPr>
        <w:spacing w:after="120" w:line="276" w:lineRule="auto"/>
        <w:ind w:right="-15"/>
        <w:jc w:val="center"/>
        <w:rPr>
          <w:rFonts w:ascii="Arial" w:eastAsia="Arial" w:hAnsi="Arial" w:cs="Arial"/>
          <w:b/>
          <w:sz w:val="20"/>
          <w:szCs w:val="20"/>
        </w:rPr>
      </w:pPr>
    </w:p>
    <w:p w:rsidR="00186A14" w:rsidRDefault="005A6ED7">
      <w:pPr>
        <w:spacing w:after="120" w:line="276" w:lineRule="auto"/>
        <w:ind w:right="-15"/>
        <w:jc w:val="center"/>
        <w:rPr>
          <w:rFonts w:ascii="Arial" w:eastAsia="Arial" w:hAnsi="Arial" w:cs="Arial"/>
          <w:b/>
          <w:sz w:val="20"/>
          <w:szCs w:val="20"/>
        </w:rPr>
      </w:pPr>
      <w:r>
        <w:rPr>
          <w:rFonts w:ascii="Arial" w:eastAsia="Arial" w:hAnsi="Arial" w:cs="Arial"/>
          <w:b/>
          <w:sz w:val="20"/>
          <w:szCs w:val="20"/>
        </w:rPr>
        <w:t>INSTITUTO FEDERAL FARROUPILHA – CAMPUS PANAMBI</w:t>
      </w:r>
    </w:p>
    <w:p w:rsidR="00186A14" w:rsidRDefault="005A6ED7">
      <w:pPr>
        <w:spacing w:after="120" w:line="276" w:lineRule="auto"/>
        <w:ind w:right="-15"/>
        <w:jc w:val="center"/>
        <w:rPr>
          <w:rFonts w:ascii="Arial" w:eastAsia="Arial" w:hAnsi="Arial" w:cs="Arial"/>
          <w:color w:val="000000"/>
          <w:sz w:val="20"/>
          <w:szCs w:val="20"/>
        </w:rPr>
      </w:pPr>
      <w:r>
        <w:rPr>
          <w:rFonts w:ascii="Arial" w:eastAsia="Arial" w:hAnsi="Arial" w:cs="Arial"/>
          <w:color w:val="000000"/>
          <w:sz w:val="20"/>
          <w:szCs w:val="20"/>
        </w:rPr>
        <w:t>TOMADA DE PREÇOS Nº 02/2020</w:t>
      </w:r>
    </w:p>
    <w:p w:rsidR="00186A14" w:rsidRDefault="005A6ED7">
      <w:pPr>
        <w:spacing w:after="120" w:line="276" w:lineRule="auto"/>
        <w:ind w:right="-15"/>
        <w:jc w:val="center"/>
        <w:rPr>
          <w:rFonts w:ascii="Arial" w:eastAsia="Arial" w:hAnsi="Arial" w:cs="Arial"/>
          <w:color w:val="000000"/>
          <w:sz w:val="20"/>
          <w:szCs w:val="20"/>
        </w:rPr>
      </w:pPr>
      <w:r>
        <w:rPr>
          <w:rFonts w:ascii="Arial" w:eastAsia="Arial" w:hAnsi="Arial" w:cs="Arial"/>
          <w:color w:val="000000"/>
          <w:sz w:val="20"/>
          <w:szCs w:val="20"/>
        </w:rPr>
        <w:t>(Processo Administrativo nº 23240.001253/</w:t>
      </w:r>
      <w:r>
        <w:rPr>
          <w:rFonts w:ascii="Arial" w:eastAsia="Arial" w:hAnsi="Arial" w:cs="Arial"/>
          <w:sz w:val="20"/>
          <w:szCs w:val="20"/>
        </w:rPr>
        <w:t>2020-25</w:t>
      </w:r>
      <w:r>
        <w:rPr>
          <w:rFonts w:ascii="Arial" w:eastAsia="Arial" w:hAnsi="Arial" w:cs="Arial"/>
          <w:color w:val="000000"/>
          <w:sz w:val="20"/>
          <w:szCs w:val="20"/>
        </w:rPr>
        <w:t>)</w:t>
      </w:r>
    </w:p>
    <w:p w:rsidR="00186A14" w:rsidRDefault="00186A14">
      <w:pPr>
        <w:spacing w:after="120" w:line="276" w:lineRule="auto"/>
        <w:ind w:right="-15"/>
        <w:jc w:val="center"/>
        <w:rPr>
          <w:rFonts w:ascii="Arial" w:eastAsia="Arial" w:hAnsi="Arial" w:cs="Arial"/>
          <w:color w:val="000000"/>
          <w:sz w:val="20"/>
          <w:szCs w:val="20"/>
        </w:rPr>
      </w:pPr>
    </w:p>
    <w:p w:rsidR="00186A14" w:rsidRDefault="005A6ED7">
      <w:pPr>
        <w:numPr>
          <w:ilvl w:val="0"/>
          <w:numId w:val="1"/>
        </w:numPr>
        <w:spacing w:after="120" w:line="276" w:lineRule="auto"/>
        <w:ind w:left="0" w:right="-15" w:firstLine="0"/>
        <w:jc w:val="both"/>
        <w:rPr>
          <w:rFonts w:ascii="Arial" w:eastAsia="Arial" w:hAnsi="Arial" w:cs="Arial"/>
          <w:b/>
          <w:sz w:val="20"/>
          <w:szCs w:val="20"/>
        </w:rPr>
      </w:pPr>
      <w:r>
        <w:rPr>
          <w:rFonts w:ascii="Arial" w:eastAsia="Arial" w:hAnsi="Arial" w:cs="Arial"/>
          <w:b/>
          <w:color w:val="000000"/>
          <w:sz w:val="20"/>
          <w:szCs w:val="20"/>
        </w:rPr>
        <w:t>OBJETO</w:t>
      </w:r>
    </w:p>
    <w:p w:rsidR="00186A14" w:rsidRDefault="005A6ED7">
      <w:pPr>
        <w:numPr>
          <w:ilvl w:val="1"/>
          <w:numId w:val="1"/>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Contratação de pessoa jurídica especializada para execução de obra de construção do Almoxarifado de Química no Instituto Federal Farroupilha Campus Panambi com área de 62,85 m², conforme condições, quantidades e exigências estabelecidas neste instrumento e seus anexos:</w:t>
      </w:r>
    </w:p>
    <w:p w:rsidR="00186A14" w:rsidRDefault="00186A14">
      <w:pPr>
        <w:spacing w:before="120" w:after="120" w:line="276" w:lineRule="auto"/>
        <w:ind w:left="1080"/>
        <w:jc w:val="both"/>
        <w:rPr>
          <w:rFonts w:ascii="Arial" w:eastAsia="Arial" w:hAnsi="Arial" w:cs="Arial"/>
          <w:color w:val="FF0000"/>
          <w:sz w:val="20"/>
          <w:szCs w:val="20"/>
        </w:rPr>
      </w:pPr>
    </w:p>
    <w:tbl>
      <w:tblPr>
        <w:tblStyle w:val="a"/>
        <w:tblW w:w="720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035"/>
        <w:gridCol w:w="3750"/>
        <w:gridCol w:w="2415"/>
      </w:tblGrid>
      <w:tr w:rsidR="00186A14">
        <w:trPr>
          <w:trHeight w:val="485"/>
        </w:trPr>
        <w:tc>
          <w:tcPr>
            <w:tcW w:w="1035" w:type="dxa"/>
            <w:tcBorders>
              <w:top w:val="single" w:sz="8" w:space="0" w:color="000000"/>
              <w:left w:val="single" w:sz="8" w:space="0" w:color="000000"/>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ind w:right="-308"/>
              <w:jc w:val="center"/>
              <w:rPr>
                <w:rFonts w:ascii="Arial" w:eastAsia="Arial" w:hAnsi="Arial" w:cs="Arial"/>
                <w:b/>
                <w:sz w:val="20"/>
                <w:szCs w:val="20"/>
              </w:rPr>
            </w:pPr>
            <w:r>
              <w:rPr>
                <w:rFonts w:ascii="Arial" w:eastAsia="Arial" w:hAnsi="Arial" w:cs="Arial"/>
                <w:b/>
                <w:sz w:val="20"/>
                <w:szCs w:val="20"/>
              </w:rPr>
              <w:t>Nº</w:t>
            </w:r>
          </w:p>
        </w:tc>
        <w:tc>
          <w:tcPr>
            <w:tcW w:w="3750"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b/>
                <w:sz w:val="20"/>
                <w:szCs w:val="20"/>
              </w:rPr>
            </w:pPr>
            <w:r>
              <w:rPr>
                <w:rFonts w:ascii="Arial" w:eastAsia="Arial" w:hAnsi="Arial" w:cs="Arial"/>
                <w:b/>
                <w:sz w:val="20"/>
                <w:szCs w:val="20"/>
              </w:rPr>
              <w:t>Descrição</w:t>
            </w:r>
          </w:p>
        </w:tc>
        <w:tc>
          <w:tcPr>
            <w:tcW w:w="2415" w:type="dxa"/>
            <w:tcBorders>
              <w:top w:val="single" w:sz="8" w:space="0" w:color="000000"/>
              <w:left w:val="nil"/>
              <w:bottom w:val="single" w:sz="8" w:space="0" w:color="000000"/>
              <w:right w:val="single" w:sz="8" w:space="0" w:color="000000"/>
            </w:tcBorders>
            <w:shd w:val="clear" w:color="auto" w:fill="D9D9D9"/>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b/>
                <w:sz w:val="20"/>
                <w:szCs w:val="20"/>
              </w:rPr>
            </w:pPr>
            <w:r>
              <w:rPr>
                <w:rFonts w:ascii="Arial" w:eastAsia="Arial" w:hAnsi="Arial" w:cs="Arial"/>
                <w:b/>
                <w:sz w:val="20"/>
                <w:szCs w:val="20"/>
              </w:rPr>
              <w:t>R$ Total</w:t>
            </w:r>
          </w:p>
        </w:tc>
      </w:tr>
      <w:tr w:rsidR="00186A14">
        <w:trPr>
          <w:trHeight w:val="1565"/>
        </w:trPr>
        <w:tc>
          <w:tcPr>
            <w:tcW w:w="103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sz w:val="20"/>
                <w:szCs w:val="20"/>
              </w:rPr>
            </w:pPr>
            <w:r>
              <w:rPr>
                <w:rFonts w:ascii="Arial" w:eastAsia="Arial" w:hAnsi="Arial" w:cs="Arial"/>
                <w:sz w:val="20"/>
                <w:szCs w:val="20"/>
              </w:rPr>
              <w:t>1</w:t>
            </w:r>
          </w:p>
        </w:tc>
        <w:tc>
          <w:tcPr>
            <w:tcW w:w="3750" w:type="dxa"/>
            <w:tcBorders>
              <w:top w:val="nil"/>
              <w:left w:val="nil"/>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both"/>
              <w:rPr>
                <w:rFonts w:ascii="Arial" w:eastAsia="Arial" w:hAnsi="Arial" w:cs="Arial"/>
                <w:sz w:val="20"/>
                <w:szCs w:val="20"/>
              </w:rPr>
            </w:pPr>
            <w:r>
              <w:rPr>
                <w:rFonts w:ascii="Arial" w:eastAsia="Arial" w:hAnsi="Arial" w:cs="Arial"/>
                <w:sz w:val="20"/>
                <w:szCs w:val="20"/>
              </w:rPr>
              <w:t xml:space="preserve">Contratação de pessoa jurídica especializada para execução de obra de construção do Prédio do Almoxarifado de Química do </w:t>
            </w:r>
            <w:proofErr w:type="spellStart"/>
            <w:r>
              <w:rPr>
                <w:rFonts w:ascii="Arial" w:eastAsia="Arial" w:hAnsi="Arial" w:cs="Arial"/>
                <w:sz w:val="20"/>
                <w:szCs w:val="20"/>
              </w:rPr>
              <w:t>IFFar</w:t>
            </w:r>
            <w:proofErr w:type="spellEnd"/>
            <w:r>
              <w:rPr>
                <w:rFonts w:ascii="Arial" w:eastAsia="Arial" w:hAnsi="Arial" w:cs="Arial"/>
                <w:sz w:val="20"/>
                <w:szCs w:val="20"/>
              </w:rPr>
              <w:t xml:space="preserve"> Campus Panambi, com área de 62,85 m²</w:t>
            </w:r>
          </w:p>
        </w:tc>
        <w:tc>
          <w:tcPr>
            <w:tcW w:w="2415" w:type="dxa"/>
            <w:tcBorders>
              <w:top w:val="nil"/>
              <w:left w:val="nil"/>
              <w:bottom w:val="single" w:sz="8" w:space="0" w:color="000000"/>
              <w:right w:val="single" w:sz="8" w:space="0" w:color="000000"/>
            </w:tcBorders>
            <w:tcMar>
              <w:top w:w="100" w:type="dxa"/>
              <w:left w:w="100" w:type="dxa"/>
              <w:bottom w:w="100" w:type="dxa"/>
              <w:right w:w="100" w:type="dxa"/>
            </w:tcMar>
          </w:tcPr>
          <w:p w:rsidR="00186A14" w:rsidRDefault="005A6ED7">
            <w:pPr>
              <w:spacing w:before="240" w:after="240" w:line="276" w:lineRule="auto"/>
              <w:jc w:val="center"/>
              <w:rPr>
                <w:rFonts w:ascii="Arial" w:eastAsia="Arial" w:hAnsi="Arial" w:cs="Arial"/>
                <w:sz w:val="20"/>
                <w:szCs w:val="20"/>
              </w:rPr>
            </w:pPr>
            <w:r>
              <w:rPr>
                <w:rFonts w:ascii="Arial" w:eastAsia="Arial" w:hAnsi="Arial" w:cs="Arial"/>
                <w:sz w:val="20"/>
                <w:szCs w:val="20"/>
              </w:rPr>
              <w:t>R$ 365.491,29</w:t>
            </w:r>
          </w:p>
        </w:tc>
      </w:tr>
    </w:tbl>
    <w:p w:rsidR="00186A14" w:rsidRDefault="00186A14">
      <w:pPr>
        <w:spacing w:before="120" w:after="120" w:line="276" w:lineRule="auto"/>
        <w:ind w:left="1080"/>
        <w:jc w:val="both"/>
        <w:rPr>
          <w:rFonts w:ascii="Arial" w:eastAsia="Arial" w:hAnsi="Arial" w:cs="Arial"/>
          <w:sz w:val="20"/>
          <w:szCs w:val="20"/>
        </w:rPr>
      </w:pPr>
    </w:p>
    <w:p w:rsidR="00186A14" w:rsidRDefault="005A6ED7">
      <w:pPr>
        <w:numPr>
          <w:ilvl w:val="1"/>
          <w:numId w:val="1"/>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O objeto da licitação tem a natureza de obra.</w:t>
      </w:r>
    </w:p>
    <w:p w:rsidR="00186A14" w:rsidRDefault="005A6ED7">
      <w:pPr>
        <w:numPr>
          <w:ilvl w:val="1"/>
          <w:numId w:val="1"/>
        </w:numPr>
        <w:spacing w:before="120" w:after="120" w:line="276" w:lineRule="auto"/>
        <w:jc w:val="both"/>
        <w:rPr>
          <w:rFonts w:ascii="Arial" w:eastAsia="Arial" w:hAnsi="Arial" w:cs="Arial"/>
          <w:b/>
          <w:sz w:val="20"/>
          <w:szCs w:val="20"/>
        </w:rPr>
      </w:pPr>
      <w:r>
        <w:rPr>
          <w:rFonts w:ascii="Arial" w:eastAsia="Arial" w:hAnsi="Arial" w:cs="Arial"/>
          <w:sz w:val="20"/>
          <w:szCs w:val="20"/>
        </w:rPr>
        <w:t>O contrato terá vigência pelo período de 12 meses, não sendo prorrogável na forma do art. 57, II, da Lei de Licitações.</w:t>
      </w:r>
    </w:p>
    <w:p w:rsidR="00186A14" w:rsidRDefault="005A6ED7">
      <w:pPr>
        <w:numPr>
          <w:ilvl w:val="1"/>
          <w:numId w:val="1"/>
        </w:numPr>
        <w:spacing w:before="120" w:after="120" w:line="276" w:lineRule="auto"/>
        <w:jc w:val="both"/>
        <w:rPr>
          <w:rFonts w:ascii="Arial" w:eastAsia="Arial" w:hAnsi="Arial" w:cs="Arial"/>
          <w:b/>
          <w:sz w:val="20"/>
          <w:szCs w:val="20"/>
        </w:rPr>
      </w:pPr>
      <w:r>
        <w:rPr>
          <w:rFonts w:ascii="Arial" w:eastAsia="Arial" w:hAnsi="Arial" w:cs="Arial"/>
          <w:sz w:val="20"/>
          <w:szCs w:val="20"/>
        </w:rPr>
        <w:t>O regime de execução do contrato será o de empreitada por preço global.</w:t>
      </w:r>
    </w:p>
    <w:p w:rsidR="00186A14" w:rsidRDefault="00186A14">
      <w:pPr>
        <w:rPr>
          <w:rFonts w:ascii="Arial" w:eastAsia="Arial" w:hAnsi="Arial" w:cs="Arial"/>
          <w:sz w:val="20"/>
          <w:szCs w:val="20"/>
        </w:rPr>
      </w:pPr>
    </w:p>
    <w:p w:rsidR="00186A14" w:rsidRDefault="005A6ED7">
      <w:pPr>
        <w:numPr>
          <w:ilvl w:val="0"/>
          <w:numId w:val="9"/>
        </w:numPr>
        <w:spacing w:before="120" w:after="120" w:line="276" w:lineRule="auto"/>
        <w:ind w:left="0" w:firstLine="0"/>
        <w:jc w:val="both"/>
        <w:rPr>
          <w:rFonts w:ascii="Arial" w:eastAsia="Arial" w:hAnsi="Arial" w:cs="Arial"/>
          <w:b/>
          <w:sz w:val="20"/>
          <w:szCs w:val="20"/>
        </w:rPr>
      </w:pPr>
      <w:r>
        <w:rPr>
          <w:rFonts w:ascii="Arial" w:eastAsia="Arial" w:hAnsi="Arial" w:cs="Arial"/>
          <w:b/>
          <w:sz w:val="20"/>
          <w:szCs w:val="20"/>
        </w:rPr>
        <w:t>JUSTIFICATIVA E OBJETIVO DA CONTRATAÇÃO</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A Justificativa e objetivo da contratação encontra-se pormenorizada em Tópico específico dos Estudos Técnicos Preliminares, apêndice deste Projeto Básico.</w:t>
      </w:r>
    </w:p>
    <w:p w:rsidR="00186A14" w:rsidRDefault="00186A14">
      <w:pPr>
        <w:spacing w:after="120"/>
        <w:ind w:left="360"/>
        <w:jc w:val="both"/>
        <w:rPr>
          <w:rFonts w:ascii="Arial" w:eastAsia="Arial" w:hAnsi="Arial" w:cs="Arial"/>
          <w:b/>
          <w:color w:val="FF0000"/>
          <w:sz w:val="20"/>
          <w:szCs w:val="20"/>
        </w:rPr>
      </w:pPr>
    </w:p>
    <w:p w:rsidR="00276928" w:rsidRDefault="00276928">
      <w:pPr>
        <w:spacing w:after="120"/>
        <w:ind w:left="360"/>
        <w:jc w:val="both"/>
        <w:rPr>
          <w:rFonts w:ascii="Arial" w:eastAsia="Arial" w:hAnsi="Arial" w:cs="Arial"/>
          <w:b/>
          <w:color w:val="FF0000"/>
          <w:sz w:val="20"/>
          <w:szCs w:val="20"/>
        </w:rPr>
      </w:pPr>
    </w:p>
    <w:p w:rsidR="00186A14" w:rsidRDefault="005A6ED7">
      <w:pPr>
        <w:numPr>
          <w:ilvl w:val="0"/>
          <w:numId w:val="9"/>
        </w:numPr>
        <w:spacing w:before="120" w:after="120" w:line="276" w:lineRule="auto"/>
        <w:ind w:left="0" w:firstLine="0"/>
        <w:jc w:val="both"/>
        <w:rPr>
          <w:rFonts w:ascii="Arial" w:eastAsia="Arial" w:hAnsi="Arial" w:cs="Arial"/>
          <w:b/>
          <w:sz w:val="20"/>
          <w:szCs w:val="20"/>
        </w:rPr>
      </w:pPr>
      <w:r>
        <w:rPr>
          <w:rFonts w:ascii="Arial" w:eastAsia="Arial" w:hAnsi="Arial" w:cs="Arial"/>
          <w:b/>
          <w:sz w:val="20"/>
          <w:szCs w:val="20"/>
        </w:rPr>
        <w:lastRenderedPageBreak/>
        <w:t>DESCRIÇÃO DA SOLUÇÃO:</w:t>
      </w:r>
    </w:p>
    <w:p w:rsidR="00186A14" w:rsidRDefault="005A6ED7">
      <w:pPr>
        <w:numPr>
          <w:ilvl w:val="1"/>
          <w:numId w:val="9"/>
        </w:numPr>
        <w:spacing w:before="120" w:after="120" w:line="276" w:lineRule="auto"/>
        <w:jc w:val="both"/>
        <w:rPr>
          <w:rFonts w:ascii="Arial" w:eastAsia="Arial" w:hAnsi="Arial" w:cs="Arial"/>
          <w:sz w:val="20"/>
          <w:szCs w:val="20"/>
        </w:rPr>
      </w:pPr>
      <w:r>
        <w:rPr>
          <w:rFonts w:ascii="Arial" w:eastAsia="Arial" w:hAnsi="Arial" w:cs="Arial"/>
          <w:sz w:val="20"/>
          <w:szCs w:val="20"/>
        </w:rPr>
        <w:t>A descrição da solução como um todo, encontra-se pormenorizada em Tópico específico dos Estudos Técnicos Preliminares, apêndice deste Projeto Básico.</w:t>
      </w:r>
    </w:p>
    <w:p w:rsidR="00186A14" w:rsidRDefault="00186A14">
      <w:pPr>
        <w:spacing w:after="120"/>
        <w:ind w:left="432"/>
        <w:jc w:val="both"/>
        <w:rPr>
          <w:rFonts w:ascii="Arial" w:eastAsia="Arial" w:hAnsi="Arial" w:cs="Arial"/>
          <w:b/>
          <w:sz w:val="20"/>
          <w:szCs w:val="20"/>
        </w:rPr>
      </w:pPr>
    </w:p>
    <w:p w:rsidR="00186A14" w:rsidRDefault="005A6ED7">
      <w:pPr>
        <w:numPr>
          <w:ilvl w:val="0"/>
          <w:numId w:val="9"/>
        </w:numPr>
        <w:spacing w:after="120"/>
        <w:jc w:val="both"/>
        <w:rPr>
          <w:rFonts w:ascii="Arial" w:eastAsia="Arial" w:hAnsi="Arial" w:cs="Arial"/>
          <w:b/>
          <w:sz w:val="20"/>
          <w:szCs w:val="20"/>
        </w:rPr>
      </w:pPr>
      <w:r>
        <w:rPr>
          <w:rFonts w:ascii="Arial" w:eastAsia="Arial" w:hAnsi="Arial" w:cs="Arial"/>
          <w:b/>
          <w:sz w:val="20"/>
          <w:szCs w:val="20"/>
        </w:rPr>
        <w:t>DA CLASSIFICAÇÃO DO OBJETO E FORMA DE SELEÇÃO DO FORNECEDOR</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Trata-se de obra, a ser contratado mediante licitação, na modalidade tomada de preço.</w:t>
      </w:r>
    </w:p>
    <w:p w:rsidR="00186A14" w:rsidRDefault="005A6ED7">
      <w:pPr>
        <w:numPr>
          <w:ilvl w:val="1"/>
          <w:numId w:val="9"/>
        </w:numPr>
        <w:spacing w:before="120" w:line="276" w:lineRule="auto"/>
        <w:ind w:left="425" w:firstLine="0"/>
        <w:jc w:val="both"/>
        <w:rPr>
          <w:rFonts w:ascii="Arial" w:eastAsia="Arial" w:hAnsi="Arial" w:cs="Arial"/>
          <w:sz w:val="20"/>
          <w:szCs w:val="20"/>
        </w:rPr>
      </w:pPr>
      <w:r>
        <w:rPr>
          <w:rFonts w:ascii="Arial" w:eastAsia="Arial" w:hAnsi="Arial" w:cs="Arial"/>
          <w:sz w:val="20"/>
          <w:szCs w:val="20"/>
        </w:rPr>
        <w:t>Os serviços a serem contratados enquadram-se nos pressupostos do Decreto n° 9.507, de 21 de setembro de 2018, não se constituindo em quaisquer das atividades, previstas no art. 3º do aludido decreto, cuja execução indireta é vedada.</w:t>
      </w:r>
    </w:p>
    <w:p w:rsidR="00186A14" w:rsidRDefault="005A6ED7">
      <w:pPr>
        <w:numPr>
          <w:ilvl w:val="1"/>
          <w:numId w:val="9"/>
        </w:numPr>
        <w:spacing w:before="120" w:line="276" w:lineRule="auto"/>
        <w:ind w:left="425" w:firstLine="0"/>
        <w:jc w:val="both"/>
        <w:rPr>
          <w:rFonts w:ascii="Arial" w:eastAsia="Arial" w:hAnsi="Arial" w:cs="Arial"/>
          <w:sz w:val="20"/>
          <w:szCs w:val="20"/>
        </w:rPr>
      </w:pPr>
      <w:r>
        <w:rPr>
          <w:rFonts w:ascii="Arial" w:eastAsia="Arial" w:hAnsi="Arial" w:cs="Arial"/>
          <w:sz w:val="20"/>
          <w:szCs w:val="20"/>
        </w:rPr>
        <w:t>A execução do contrato não gerará vínculo empregatício entre os empregados da Contratada e a Administração, vedando-se qualquer relação entre estes que caracterize pessoalidade e subordinação direta.</w:t>
      </w:r>
    </w:p>
    <w:p w:rsidR="00186A14" w:rsidRDefault="00186A14">
      <w:pPr>
        <w:spacing w:before="120" w:line="276" w:lineRule="auto"/>
        <w:ind w:left="425"/>
        <w:jc w:val="both"/>
        <w:rPr>
          <w:rFonts w:ascii="Arial" w:eastAsia="Arial" w:hAnsi="Arial" w:cs="Arial"/>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sz w:val="20"/>
          <w:szCs w:val="20"/>
        </w:rPr>
        <w:t>REQUISITOS DA CONTRATAÇÃO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Conforme Estudos Técnicos Preliminares, os requisitos da contratação abrangem o seguinte:</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 A execução da edificação deverá observar cuidadosamente o projeto, em especial, no que tange a iluminação, aberturas, climatização, materiais de piso, pintura, canaletas e grades do piso a fim de atender todas as legislações e normas sobre o tema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empregar mão de obra qualificada e materiais de qualidade.</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empresa deverá ser do ramo de atividade relacionada ao objeto, não possuir registro de sanção que impeça sua contratação, estar devidamente regular com as Fazendas Públicas Municipal, Estadual e Federal, com o FGTS e com a Justiça do Trabalho, demonstrar boa situação financeira por meio dos requisitos usuais exigidos como qualificação econômica.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A contratada deverá atender aos seguintes critérios quanto a </w:t>
      </w:r>
      <w:proofErr w:type="gramStart"/>
      <w:r>
        <w:rPr>
          <w:rFonts w:ascii="Arial" w:eastAsia="Arial" w:hAnsi="Arial" w:cs="Arial"/>
          <w:sz w:val="20"/>
          <w:szCs w:val="20"/>
        </w:rPr>
        <w:t>capacidade técnica previstos</w:t>
      </w:r>
      <w:proofErr w:type="gramEnd"/>
      <w:r>
        <w:rPr>
          <w:rFonts w:ascii="Arial" w:eastAsia="Arial" w:hAnsi="Arial" w:cs="Arial"/>
          <w:sz w:val="20"/>
          <w:szCs w:val="20"/>
        </w:rPr>
        <w:t xml:space="preserve"> no Edital.</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presente contratação não se trata de serviço continuado</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A Contratada deverá observar as diretrizes, critérios e procedimentos para a gestão dos resíduos da construção civil estabelecidos na Lei nº 12.305, de 2010 – Política Nacional de Resíduos Sólidos, Resolução nº 307, de 05/07/2002, do Conselho Nacional de Meio Ambiente – CONAMA, e Instrução Normativa SLTI/MPOG n° 1, de 19/01/2010, previstos nas “Obrigações da Contratada”</w:t>
      </w:r>
    </w:p>
    <w:p w:rsidR="00186A14" w:rsidRDefault="005A6ED7">
      <w:pPr>
        <w:numPr>
          <w:ilvl w:val="2"/>
          <w:numId w:val="9"/>
        </w:numPr>
        <w:spacing w:after="120"/>
        <w:ind w:left="1497"/>
        <w:jc w:val="both"/>
        <w:rPr>
          <w:rFonts w:ascii="Arial" w:eastAsia="Arial" w:hAnsi="Arial" w:cs="Arial"/>
          <w:sz w:val="20"/>
          <w:szCs w:val="20"/>
        </w:rPr>
      </w:pPr>
      <w:r>
        <w:rPr>
          <w:rFonts w:ascii="Arial" w:eastAsia="Arial" w:hAnsi="Arial" w:cs="Arial"/>
          <w:sz w:val="20"/>
          <w:szCs w:val="20"/>
        </w:rPr>
        <w:t xml:space="preserve">De acordo com o Cronograma Físico Financeiro em anexo, o prazo de execução dos serviços será de 6 meses. Conforme recomenda o Manual de Gestão e Fiscalização de Obras e Serviços de Engenharia do Instituto Federal Farroupilha, deve haver </w:t>
      </w:r>
      <w:proofErr w:type="gramStart"/>
      <w:r>
        <w:rPr>
          <w:rFonts w:ascii="Arial" w:eastAsia="Arial" w:hAnsi="Arial" w:cs="Arial"/>
          <w:sz w:val="20"/>
          <w:szCs w:val="20"/>
        </w:rPr>
        <w:t>uma  diferença</w:t>
      </w:r>
      <w:proofErr w:type="gramEnd"/>
      <w:r>
        <w:rPr>
          <w:rFonts w:ascii="Arial" w:eastAsia="Arial" w:hAnsi="Arial" w:cs="Arial"/>
          <w:sz w:val="20"/>
          <w:szCs w:val="20"/>
        </w:rPr>
        <w:t xml:space="preserve"> de, no mínimo, 180 dias entre o final do prazo de execução e o final do prazo de vigência do contrato, a fim de que sejam verificadas falhas ocultas da edificação e entregues os documentos finais. Dessa forma, a duração do contrato será de 12 meses, não sendo prorrogável na forma do art. 57, II, da Lei de Licitações.</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color w:val="000000"/>
          <w:sz w:val="20"/>
          <w:szCs w:val="20"/>
        </w:rPr>
        <w:lastRenderedPageBreak/>
        <w:t>Declaração do licitante de que tem pleno conhecimento das condições necessárias para o cumprimento do contrato.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 xml:space="preserve">As obrigações da </w:t>
      </w:r>
      <w:r>
        <w:rPr>
          <w:rFonts w:ascii="Arial" w:eastAsia="Arial" w:hAnsi="Arial" w:cs="Arial"/>
          <w:color w:val="000000"/>
          <w:sz w:val="20"/>
          <w:szCs w:val="20"/>
        </w:rPr>
        <w:t>Contratada</w:t>
      </w:r>
      <w:r>
        <w:rPr>
          <w:rFonts w:ascii="Arial" w:eastAsia="Arial" w:hAnsi="Arial" w:cs="Arial"/>
          <w:sz w:val="20"/>
          <w:szCs w:val="20"/>
        </w:rPr>
        <w:t xml:space="preserve"> e Contratante estão previstas neste Projeto Básico.</w:t>
      </w:r>
    </w:p>
    <w:p w:rsidR="00186A14" w:rsidRDefault="005A6ED7">
      <w:pPr>
        <w:keepNext/>
        <w:keepLines/>
        <w:numPr>
          <w:ilvl w:val="0"/>
          <w:numId w:val="9"/>
        </w:numPr>
        <w:pBdr>
          <w:top w:val="nil"/>
          <w:left w:val="nil"/>
          <w:bottom w:val="nil"/>
          <w:right w:val="nil"/>
          <w:between w:val="nil"/>
        </w:pBdr>
        <w:spacing w:before="480" w:line="276" w:lineRule="auto"/>
        <w:jc w:val="both"/>
        <w:rPr>
          <w:rFonts w:ascii="Arial" w:eastAsia="Arial" w:hAnsi="Arial" w:cs="Arial"/>
          <w:b/>
          <w:sz w:val="20"/>
          <w:szCs w:val="20"/>
        </w:rPr>
      </w:pPr>
      <w:r>
        <w:rPr>
          <w:rFonts w:ascii="Arial" w:eastAsia="Arial" w:hAnsi="Arial" w:cs="Arial"/>
          <w:b/>
          <w:sz w:val="20"/>
          <w:szCs w:val="20"/>
        </w:rPr>
        <w:t>VISTORIA PARA A LICITAÇÃO</w:t>
      </w:r>
    </w:p>
    <w:p w:rsidR="00186A14" w:rsidRDefault="005A6ED7">
      <w:pPr>
        <w:keepNext/>
        <w:keepLines/>
        <w:numPr>
          <w:ilvl w:val="1"/>
          <w:numId w:val="9"/>
        </w:numPr>
        <w:pBdr>
          <w:top w:val="nil"/>
          <w:left w:val="nil"/>
          <w:bottom w:val="nil"/>
          <w:right w:val="nil"/>
          <w:between w:val="nil"/>
        </w:pBdr>
        <w:spacing w:before="480" w:line="276" w:lineRule="auto"/>
        <w:jc w:val="both"/>
        <w:rPr>
          <w:rFonts w:ascii="Arial" w:eastAsia="Arial" w:hAnsi="Arial" w:cs="Arial"/>
          <w:sz w:val="20"/>
          <w:szCs w:val="20"/>
        </w:rPr>
      </w:pPr>
      <w:r>
        <w:rPr>
          <w:rFonts w:ascii="Arial" w:eastAsia="Arial" w:hAnsi="Arial" w:cs="Arial"/>
          <w:sz w:val="20"/>
          <w:szCs w:val="20"/>
        </w:rPr>
        <w:t xml:space="preserve">Para o correto dimensionamento e elaboração de sua proposta, o licitante poderá realizar vistoria nas instalações do local de execução dos serviços, acompanhado por servidor designado para esse fim, de segunda à sexta-feira, das 7:45 horas às 11:45 horas e das 13:15 as 17:15, devendo o agendamento ser efetuado previamente pelo telefone (55) 3376-8811 ou pelo e-mail </w:t>
      </w:r>
      <w:r>
        <w:rPr>
          <w:rFonts w:ascii="Arial" w:eastAsia="Arial" w:hAnsi="Arial" w:cs="Arial"/>
          <w:sz w:val="20"/>
          <w:szCs w:val="20"/>
          <w:u w:val="single"/>
        </w:rPr>
        <w:t>infraestrutura.pb@iffarroupilha.edu.br</w:t>
      </w:r>
    </w:p>
    <w:p w:rsidR="00186A14" w:rsidRDefault="005A6ED7">
      <w:pPr>
        <w:numPr>
          <w:ilvl w:val="1"/>
          <w:numId w:val="9"/>
        </w:numPr>
        <w:spacing w:before="120" w:after="120" w:line="276" w:lineRule="auto"/>
        <w:ind w:right="-15"/>
        <w:jc w:val="both"/>
        <w:rPr>
          <w:rFonts w:ascii="Arial" w:eastAsia="Arial" w:hAnsi="Arial" w:cs="Arial"/>
          <w:sz w:val="20"/>
          <w:szCs w:val="20"/>
        </w:rPr>
      </w:pPr>
      <w:r>
        <w:rPr>
          <w:rFonts w:ascii="Arial" w:eastAsia="Arial" w:hAnsi="Arial" w:cs="Arial"/>
          <w:sz w:val="20"/>
          <w:szCs w:val="20"/>
        </w:rPr>
        <w:t>O prazo para vistoria iniciar-se-á no dia útil seguinte ao da publicação do Edital, estendendo-se até o dia útil anterior à data prevista para a abertura da sessão pública.</w:t>
      </w:r>
    </w:p>
    <w:p w:rsidR="00186A14" w:rsidRDefault="005A6ED7">
      <w:pPr>
        <w:numPr>
          <w:ilvl w:val="2"/>
          <w:numId w:val="9"/>
        </w:numPr>
        <w:pBdr>
          <w:top w:val="nil"/>
          <w:left w:val="nil"/>
          <w:bottom w:val="nil"/>
          <w:right w:val="nil"/>
          <w:between w:val="nil"/>
        </w:pBdr>
        <w:spacing w:before="120" w:line="276" w:lineRule="auto"/>
        <w:jc w:val="both"/>
        <w:rPr>
          <w:rFonts w:ascii="Arial" w:eastAsia="Arial" w:hAnsi="Arial" w:cs="Arial"/>
          <w:sz w:val="20"/>
          <w:szCs w:val="20"/>
        </w:rPr>
      </w:pPr>
      <w:r>
        <w:rPr>
          <w:rFonts w:ascii="Arial" w:eastAsia="Arial" w:hAnsi="Arial" w:cs="Arial"/>
          <w:sz w:val="20"/>
          <w:szCs w:val="20"/>
        </w:rPr>
        <w:t>Para a vistoria o licitante, ou o seu representante legal, deverá estar devidamente identificado, apresentando documento de identidade civil e documento expedido pela empresa comprovando sua habilitação para a realização da vistoria.</w:t>
      </w:r>
    </w:p>
    <w:p w:rsidR="00186A14" w:rsidRDefault="00186A14">
      <w:pPr>
        <w:pBdr>
          <w:top w:val="nil"/>
          <w:left w:val="nil"/>
          <w:bottom w:val="nil"/>
          <w:right w:val="nil"/>
          <w:between w:val="nil"/>
        </w:pBdr>
        <w:spacing w:line="276" w:lineRule="auto"/>
        <w:ind w:left="1922"/>
        <w:jc w:val="both"/>
        <w:rPr>
          <w:rFonts w:ascii="Arial" w:eastAsia="Arial" w:hAnsi="Arial" w:cs="Arial"/>
          <w:color w:val="FF0000"/>
          <w:sz w:val="20"/>
          <w:szCs w:val="20"/>
        </w:rPr>
      </w:pPr>
    </w:p>
    <w:p w:rsidR="00186A14" w:rsidRDefault="005A6ED7">
      <w:pPr>
        <w:numPr>
          <w:ilvl w:val="2"/>
          <w:numId w:val="9"/>
        </w:numPr>
        <w:pBdr>
          <w:top w:val="nil"/>
          <w:left w:val="nil"/>
          <w:bottom w:val="nil"/>
          <w:right w:val="nil"/>
          <w:between w:val="nil"/>
        </w:pBdr>
        <w:spacing w:line="276" w:lineRule="auto"/>
        <w:jc w:val="both"/>
        <w:rPr>
          <w:rFonts w:ascii="Arial" w:eastAsia="Arial" w:hAnsi="Arial" w:cs="Arial"/>
          <w:sz w:val="20"/>
          <w:szCs w:val="20"/>
          <w:highlight w:val="yellow"/>
        </w:rPr>
      </w:pPr>
      <w:r>
        <w:rPr>
          <w:rFonts w:ascii="Arial" w:eastAsia="Arial" w:hAnsi="Arial" w:cs="Arial"/>
          <w:sz w:val="20"/>
          <w:szCs w:val="20"/>
          <w:highlight w:val="yellow"/>
        </w:rPr>
        <w:t xml:space="preserve"> A vistoria deverá ser agendada até a quarta-feira da semana anterior à data desejada, devido a necessidade de solicitação de autorização à Comissão Local de Saúde para adentrar no campus;</w:t>
      </w:r>
    </w:p>
    <w:p w:rsidR="00186A14" w:rsidRDefault="005A6ED7">
      <w:pPr>
        <w:numPr>
          <w:ilvl w:val="2"/>
          <w:numId w:val="9"/>
        </w:numPr>
        <w:pBdr>
          <w:top w:val="nil"/>
          <w:left w:val="nil"/>
          <w:bottom w:val="nil"/>
          <w:right w:val="nil"/>
          <w:between w:val="nil"/>
        </w:pBdr>
        <w:spacing w:line="276" w:lineRule="auto"/>
        <w:jc w:val="both"/>
        <w:rPr>
          <w:rFonts w:ascii="Arial" w:eastAsia="Arial" w:hAnsi="Arial" w:cs="Arial"/>
          <w:sz w:val="20"/>
          <w:szCs w:val="20"/>
          <w:highlight w:val="yellow"/>
        </w:rPr>
      </w:pPr>
      <w:r>
        <w:rPr>
          <w:rFonts w:ascii="Arial" w:eastAsia="Arial" w:hAnsi="Arial" w:cs="Arial"/>
          <w:sz w:val="20"/>
          <w:szCs w:val="20"/>
          <w:highlight w:val="yellow"/>
        </w:rPr>
        <w:t>Durante a permanência na Instituição deverão ser respeitadas as seguintes orientações:</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Fazer uso correto e permanente de máscara durante todo o período que estiver dentro na Instituição;</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Higienizar as mãos e/ou usar álcool em gel 70%;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Evitar tocar em objetos, quando desnecessário;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Não ter contato físico com outras pessoas, evitando apertos de mão, beijos, abraços, </w:t>
      </w:r>
      <w:proofErr w:type="spellStart"/>
      <w:r>
        <w:rPr>
          <w:rFonts w:ascii="Arial" w:eastAsia="Arial" w:hAnsi="Arial" w:cs="Arial"/>
          <w:sz w:val="20"/>
          <w:szCs w:val="20"/>
          <w:highlight w:val="yellow"/>
        </w:rPr>
        <w:t>etc</w:t>
      </w:r>
      <w:proofErr w:type="spellEnd"/>
      <w:r>
        <w:rPr>
          <w:rFonts w:ascii="Arial" w:eastAsia="Arial" w:hAnsi="Arial" w:cs="Arial"/>
          <w:sz w:val="20"/>
          <w:szCs w:val="20"/>
          <w:highlight w:val="yellow"/>
        </w:rPr>
        <w:t xml:space="preserve">;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 xml:space="preserve">Preservar o distanciamento social preconizado (1,5 metros); </w:t>
      </w:r>
    </w:p>
    <w:p w:rsidR="00186A14" w:rsidRDefault="005A6ED7">
      <w:pPr>
        <w:numPr>
          <w:ilvl w:val="3"/>
          <w:numId w:val="9"/>
        </w:numPr>
        <w:pBdr>
          <w:top w:val="nil"/>
          <w:left w:val="nil"/>
          <w:bottom w:val="nil"/>
          <w:right w:val="nil"/>
          <w:between w:val="nil"/>
        </w:pBdr>
        <w:spacing w:line="276" w:lineRule="auto"/>
        <w:ind w:hanging="648"/>
        <w:jc w:val="both"/>
        <w:rPr>
          <w:rFonts w:ascii="Arial" w:eastAsia="Arial" w:hAnsi="Arial" w:cs="Arial"/>
          <w:sz w:val="20"/>
          <w:szCs w:val="20"/>
          <w:highlight w:val="yellow"/>
        </w:rPr>
      </w:pPr>
      <w:r>
        <w:rPr>
          <w:rFonts w:ascii="Arial" w:eastAsia="Arial" w:hAnsi="Arial" w:cs="Arial"/>
          <w:sz w:val="20"/>
          <w:szCs w:val="20"/>
          <w:highlight w:val="yellow"/>
        </w:rPr>
        <w:t>Permanecer nas dependências da Instituição somente pelo tempo estritamente necessário à resolução da demanda.</w:t>
      </w:r>
    </w:p>
    <w:p w:rsidR="00186A14" w:rsidRDefault="00186A14">
      <w:pPr>
        <w:pBdr>
          <w:top w:val="nil"/>
          <w:left w:val="nil"/>
          <w:bottom w:val="nil"/>
          <w:right w:val="nil"/>
          <w:between w:val="nil"/>
        </w:pBdr>
        <w:spacing w:line="276" w:lineRule="auto"/>
        <w:ind w:left="1224"/>
        <w:jc w:val="both"/>
        <w:rPr>
          <w:rFonts w:ascii="Arial" w:eastAsia="Arial" w:hAnsi="Arial" w:cs="Arial"/>
          <w:sz w:val="20"/>
          <w:szCs w:val="20"/>
        </w:rPr>
      </w:pPr>
    </w:p>
    <w:p w:rsidR="00186A14" w:rsidRDefault="005A6ED7">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Por ocasião da vistoria, ao licitante, ou ao seu representante legal, poderá ser entregue CD-ROM, “pen-drive” ou outra forma compatível de reprodução, contendo as informações relativas ao objeto da licitação, para que a empresa tenha condições de bem elaborar sua proposta.</w:t>
      </w:r>
    </w:p>
    <w:p w:rsidR="00186A14" w:rsidRDefault="00186A14">
      <w:pPr>
        <w:pBdr>
          <w:top w:val="nil"/>
          <w:left w:val="nil"/>
          <w:bottom w:val="nil"/>
          <w:right w:val="nil"/>
          <w:between w:val="nil"/>
        </w:pBdr>
        <w:spacing w:line="276" w:lineRule="auto"/>
        <w:ind w:left="432"/>
        <w:jc w:val="both"/>
        <w:rPr>
          <w:rFonts w:ascii="Arial" w:eastAsia="Arial" w:hAnsi="Arial" w:cs="Arial"/>
          <w:sz w:val="20"/>
          <w:szCs w:val="20"/>
        </w:rPr>
      </w:pPr>
    </w:p>
    <w:p w:rsidR="00186A14" w:rsidRDefault="005A6ED7">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A não realização da vistoria, quando facultativa, não poderá embasar posteriores alegações de desconhecimento das instalações, dúvidas ou esquecimentos de quaisquer detalhes dos locais da prestação dos serviços, devendo a licitante vencedora assumir os ônus dos serviços decorrentes.</w:t>
      </w:r>
    </w:p>
    <w:p w:rsidR="00186A14" w:rsidRDefault="00186A14">
      <w:pPr>
        <w:pBdr>
          <w:top w:val="nil"/>
          <w:left w:val="nil"/>
          <w:bottom w:val="nil"/>
          <w:right w:val="nil"/>
          <w:between w:val="nil"/>
        </w:pBdr>
        <w:ind w:left="720"/>
        <w:rPr>
          <w:rFonts w:ascii="Arial" w:eastAsia="Arial" w:hAnsi="Arial" w:cs="Arial"/>
          <w:sz w:val="20"/>
          <w:szCs w:val="20"/>
        </w:rPr>
      </w:pPr>
    </w:p>
    <w:p w:rsidR="00186A14" w:rsidRPr="00276928" w:rsidRDefault="005A6ED7" w:rsidP="00276928">
      <w:pPr>
        <w:numPr>
          <w:ilvl w:val="1"/>
          <w:numId w:val="9"/>
        </w:numPr>
        <w:pBdr>
          <w:top w:val="nil"/>
          <w:left w:val="nil"/>
          <w:bottom w:val="nil"/>
          <w:right w:val="nil"/>
          <w:between w:val="nil"/>
        </w:pBdr>
        <w:spacing w:line="276" w:lineRule="auto"/>
        <w:jc w:val="both"/>
        <w:rPr>
          <w:rFonts w:ascii="Arial" w:eastAsia="Arial" w:hAnsi="Arial" w:cs="Arial"/>
          <w:sz w:val="20"/>
          <w:szCs w:val="20"/>
        </w:rPr>
      </w:pPr>
      <w:r>
        <w:rPr>
          <w:rFonts w:ascii="Arial" w:eastAsia="Arial" w:hAnsi="Arial" w:cs="Arial"/>
          <w:sz w:val="20"/>
          <w:szCs w:val="20"/>
        </w:rPr>
        <w:t>A licitante deverá declarar que tomou conhecimento de todas as informações e das condições locais para o cumprimento das obrigações objeto da licitação</w:t>
      </w:r>
      <w:r>
        <w:rPr>
          <w:rFonts w:ascii="Arial" w:eastAsia="Arial" w:hAnsi="Arial" w:cs="Arial"/>
          <w:color w:val="FF0000"/>
          <w:sz w:val="20"/>
          <w:szCs w:val="20"/>
        </w:rPr>
        <w:t>.</w:t>
      </w:r>
    </w:p>
    <w:p w:rsidR="00186A14" w:rsidRDefault="00186A14">
      <w:pPr>
        <w:pBdr>
          <w:top w:val="nil"/>
          <w:left w:val="nil"/>
          <w:bottom w:val="nil"/>
          <w:right w:val="nil"/>
          <w:between w:val="nil"/>
        </w:pBdr>
        <w:spacing w:after="120" w:line="276" w:lineRule="auto"/>
        <w:ind w:left="432"/>
        <w:jc w:val="both"/>
        <w:rPr>
          <w:rFonts w:ascii="Arial" w:eastAsia="Arial" w:hAnsi="Arial" w:cs="Arial"/>
          <w:color w:val="FF0000"/>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sz w:val="20"/>
          <w:szCs w:val="20"/>
        </w:rPr>
        <w:lastRenderedPageBreak/>
        <w:t>MODELO DE EXECUÇÃO DO OBJETO</w:t>
      </w:r>
    </w:p>
    <w:p w:rsidR="00186A14" w:rsidRDefault="005A6ED7">
      <w:pPr>
        <w:numPr>
          <w:ilvl w:val="1"/>
          <w:numId w:val="9"/>
        </w:numPr>
        <w:spacing w:after="120"/>
        <w:jc w:val="both"/>
        <w:rPr>
          <w:rFonts w:ascii="Arial" w:eastAsia="Arial" w:hAnsi="Arial" w:cs="Arial"/>
          <w:sz w:val="20"/>
          <w:szCs w:val="20"/>
        </w:rPr>
      </w:pPr>
      <w:r>
        <w:rPr>
          <w:rFonts w:ascii="Arial" w:eastAsia="Arial" w:hAnsi="Arial" w:cs="Arial"/>
          <w:sz w:val="20"/>
          <w:szCs w:val="20"/>
        </w:rPr>
        <w:t>A execução do objeto seguirá a seguinte dinâmica:</w:t>
      </w:r>
    </w:p>
    <w:p w:rsidR="00186A14" w:rsidRDefault="005A6ED7">
      <w:pPr>
        <w:numPr>
          <w:ilvl w:val="2"/>
          <w:numId w:val="9"/>
        </w:numPr>
        <w:spacing w:after="120"/>
        <w:jc w:val="both"/>
        <w:rPr>
          <w:rFonts w:ascii="Arial" w:eastAsia="Arial" w:hAnsi="Arial" w:cs="Arial"/>
          <w:sz w:val="20"/>
          <w:szCs w:val="20"/>
        </w:rPr>
      </w:pPr>
      <w:r>
        <w:rPr>
          <w:rFonts w:ascii="Arial" w:eastAsia="Arial" w:hAnsi="Arial" w:cs="Arial"/>
          <w:sz w:val="20"/>
          <w:szCs w:val="20"/>
        </w:rPr>
        <w:t xml:space="preserve"> Seguir rigorosamente as disposições contidas: em sua proposta, neste Projeto Básico e nos arquivos que compõem os </w:t>
      </w:r>
      <w:r>
        <w:rPr>
          <w:rFonts w:ascii="Arial" w:eastAsia="Arial" w:hAnsi="Arial" w:cs="Arial"/>
          <w:b/>
          <w:sz w:val="20"/>
          <w:szCs w:val="20"/>
        </w:rPr>
        <w:t>Anexos B e D.</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A execução dos serviços será iniciada </w:t>
      </w:r>
      <w:r>
        <w:rPr>
          <w:rFonts w:ascii="Arial" w:eastAsia="Arial" w:hAnsi="Arial" w:cs="Arial"/>
          <w:sz w:val="20"/>
          <w:szCs w:val="20"/>
        </w:rPr>
        <w:t>até 10 dias da emissão da Ordem de Serviço que determina o início da execução</w:t>
      </w:r>
      <w:r>
        <w:rPr>
          <w:rFonts w:ascii="Arial" w:eastAsia="Arial" w:hAnsi="Arial" w:cs="Arial"/>
          <w:color w:val="000000"/>
          <w:sz w:val="20"/>
          <w:szCs w:val="20"/>
        </w:rPr>
        <w:t xml:space="preserve">, cujas etapas observarão o </w:t>
      </w:r>
      <w:r>
        <w:rPr>
          <w:rFonts w:ascii="Arial" w:eastAsia="Arial" w:hAnsi="Arial" w:cs="Arial"/>
          <w:sz w:val="20"/>
          <w:szCs w:val="20"/>
        </w:rPr>
        <w:t>Cronograma Físico Financeiro, conforme</w:t>
      </w:r>
      <w:r>
        <w:rPr>
          <w:rFonts w:ascii="Arial" w:eastAsia="Arial" w:hAnsi="Arial" w:cs="Arial"/>
          <w:b/>
          <w:sz w:val="20"/>
          <w:szCs w:val="20"/>
        </w:rPr>
        <w:t xml:space="preserve"> Anexo C </w:t>
      </w:r>
      <w:r>
        <w:rPr>
          <w:rFonts w:ascii="Arial" w:eastAsia="Arial" w:hAnsi="Arial" w:cs="Arial"/>
          <w:sz w:val="20"/>
          <w:szCs w:val="20"/>
        </w:rPr>
        <w:t>deste Projeto Básico.</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local da obra será no </w:t>
      </w:r>
      <w:proofErr w:type="spellStart"/>
      <w:r>
        <w:rPr>
          <w:rFonts w:ascii="Arial" w:eastAsia="Arial" w:hAnsi="Arial" w:cs="Arial"/>
          <w:sz w:val="20"/>
          <w:szCs w:val="20"/>
        </w:rPr>
        <w:t>IFFar</w:t>
      </w:r>
      <w:proofErr w:type="spellEnd"/>
      <w:r>
        <w:rPr>
          <w:rFonts w:ascii="Arial" w:eastAsia="Arial" w:hAnsi="Arial" w:cs="Arial"/>
          <w:sz w:val="20"/>
          <w:szCs w:val="20"/>
        </w:rPr>
        <w:t xml:space="preserve"> Campus Panambi, localizado na Rua Erechim, </w:t>
      </w:r>
      <w:proofErr w:type="gramStart"/>
      <w:r>
        <w:rPr>
          <w:rFonts w:ascii="Arial" w:eastAsia="Arial" w:hAnsi="Arial" w:cs="Arial"/>
          <w:sz w:val="20"/>
          <w:szCs w:val="20"/>
        </w:rPr>
        <w:t>n.º</w:t>
      </w:r>
      <w:proofErr w:type="gramEnd"/>
      <w:r>
        <w:rPr>
          <w:rFonts w:ascii="Arial" w:eastAsia="Arial" w:hAnsi="Arial" w:cs="Arial"/>
          <w:sz w:val="20"/>
          <w:szCs w:val="20"/>
        </w:rPr>
        <w:t xml:space="preserve"> 860, Bairro Planalto, Panambi/RS.</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w:t>
      </w:r>
      <w:r>
        <w:rPr>
          <w:rFonts w:ascii="Arial" w:eastAsia="Arial" w:hAnsi="Arial" w:cs="Arial"/>
          <w:b/>
          <w:sz w:val="20"/>
          <w:szCs w:val="20"/>
        </w:rPr>
        <w:t>prazo para execução da obra</w:t>
      </w:r>
      <w:r>
        <w:rPr>
          <w:rFonts w:ascii="Arial" w:eastAsia="Arial" w:hAnsi="Arial" w:cs="Arial"/>
          <w:sz w:val="20"/>
          <w:szCs w:val="20"/>
        </w:rPr>
        <w:t xml:space="preserve"> será de </w:t>
      </w:r>
      <w:r>
        <w:rPr>
          <w:rFonts w:ascii="Arial" w:eastAsia="Arial" w:hAnsi="Arial" w:cs="Arial"/>
          <w:b/>
          <w:sz w:val="20"/>
          <w:szCs w:val="20"/>
        </w:rPr>
        <w:t>180 (cento e oitenta) dias corridos</w:t>
      </w:r>
      <w:r>
        <w:rPr>
          <w:rFonts w:ascii="Arial" w:eastAsia="Arial" w:hAnsi="Arial" w:cs="Arial"/>
          <w:sz w:val="20"/>
          <w:szCs w:val="20"/>
        </w:rPr>
        <w:t xml:space="preserve"> a partir da decorrência do prazo de dez dias a contar do recebimento da Ordem de Serviço pela Contratada;</w:t>
      </w:r>
    </w:p>
    <w:p w:rsidR="00186A14" w:rsidRDefault="005A6ED7">
      <w:pPr>
        <w:numPr>
          <w:ilvl w:val="1"/>
          <w:numId w:val="9"/>
        </w:numPr>
        <w:pBdr>
          <w:top w:val="nil"/>
          <w:left w:val="nil"/>
          <w:bottom w:val="nil"/>
          <w:right w:val="nil"/>
          <w:between w:val="nil"/>
        </w:pBdr>
        <w:spacing w:after="120" w:line="276" w:lineRule="auto"/>
        <w:ind w:left="425" w:firstLine="0"/>
        <w:jc w:val="both"/>
        <w:rPr>
          <w:rFonts w:ascii="Arial" w:eastAsia="Arial" w:hAnsi="Arial" w:cs="Arial"/>
          <w:sz w:val="20"/>
          <w:szCs w:val="20"/>
        </w:rPr>
      </w:pPr>
      <w:r>
        <w:rPr>
          <w:rFonts w:ascii="Arial" w:eastAsia="Arial" w:hAnsi="Arial" w:cs="Arial"/>
          <w:sz w:val="20"/>
          <w:szCs w:val="20"/>
        </w:rPr>
        <w:t>O prazo total de vigência do contrato será de 12 (doze) meses.</w:t>
      </w:r>
    </w:p>
    <w:p w:rsidR="00186A14" w:rsidRDefault="00186A14">
      <w:pPr>
        <w:rPr>
          <w:rFonts w:ascii="Arial" w:eastAsia="Arial" w:hAnsi="Arial" w:cs="Arial"/>
          <w:sz w:val="20"/>
          <w:szCs w:val="20"/>
        </w:rPr>
      </w:pPr>
    </w:p>
    <w:p w:rsidR="00186A14" w:rsidRDefault="005A6ED7">
      <w:pPr>
        <w:numPr>
          <w:ilvl w:val="0"/>
          <w:numId w:val="9"/>
        </w:numPr>
        <w:spacing w:after="120"/>
        <w:ind w:left="0" w:firstLine="0"/>
        <w:jc w:val="both"/>
        <w:rPr>
          <w:rFonts w:ascii="Arial" w:eastAsia="Arial" w:hAnsi="Arial" w:cs="Arial"/>
          <w:b/>
          <w:sz w:val="20"/>
          <w:szCs w:val="20"/>
        </w:rPr>
      </w:pPr>
      <w:r>
        <w:rPr>
          <w:rFonts w:ascii="Arial" w:eastAsia="Arial" w:hAnsi="Arial" w:cs="Arial"/>
          <w:b/>
          <w:color w:val="000000"/>
          <w:sz w:val="20"/>
          <w:szCs w:val="20"/>
        </w:rPr>
        <w:t>OBRIGAÇÕES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Exigir o cumprimento de todas as obrigações assumidas pela Contratada, de acordo com as cláusulas contratuais e os termos de sua proposta;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Exercer o acompanhamento e a fiscalização dos serviços, por servidor ou </w:t>
      </w:r>
      <w:r>
        <w:rPr>
          <w:rFonts w:ascii="Arial" w:eastAsia="Arial" w:hAnsi="Arial" w:cs="Arial"/>
          <w:sz w:val="20"/>
          <w:szCs w:val="20"/>
        </w:rPr>
        <w:t>comissão especialmente designada,</w:t>
      </w:r>
      <w:r>
        <w:rPr>
          <w:rFonts w:ascii="Arial" w:eastAsia="Arial" w:hAnsi="Arial" w:cs="Arial"/>
          <w:color w:val="000000"/>
          <w:sz w:val="20"/>
          <w:szCs w:val="20"/>
        </w:rPr>
        <w:t xml:space="preserve"> anotando em registro próprio as falhas detectadas, indicando dia, mês e ano, bem como o nome dos empregados eventualmente envolvidos, encaminhando os apontamentos à autoridade competente para as providências cabíveis;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Notificar a Contratada por escrito da ocorrência de eventuais imperfeições, falhas ou irregularidades constatadas no curso da execução dos serviços, fixando prazo para a sua correção, </w:t>
      </w:r>
      <w:r>
        <w:rPr>
          <w:rFonts w:ascii="Arial" w:eastAsia="Arial" w:hAnsi="Arial" w:cs="Arial"/>
          <w:sz w:val="20"/>
          <w:szCs w:val="20"/>
        </w:rPr>
        <w:t>certificando-se de que as soluções por ela propostas sejam as mais adequadas;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Pagar à Contratada o valor resultante da prestação do serviço, conforme cronograma físico-financeiro;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Efetuar as retenções tributárias devidas sobre o valor da fatura de serviços da Contratada, </w:t>
      </w:r>
      <w:r>
        <w:rPr>
          <w:rFonts w:ascii="Arial" w:eastAsia="Arial" w:hAnsi="Arial" w:cs="Arial"/>
          <w:sz w:val="20"/>
          <w:szCs w:val="20"/>
        </w:rPr>
        <w:t>em conformidade com o Anexo XI, Item 6 da IN SEGES/MP nº 5/2017</w:t>
      </w:r>
      <w:r>
        <w:rPr>
          <w:rFonts w:ascii="Arial" w:eastAsia="Arial" w:hAnsi="Arial" w:cs="Arial"/>
          <w:color w:val="000000"/>
          <w:sz w:val="20"/>
          <w:szCs w:val="20"/>
        </w:rPr>
        <w:t>;</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Não praticar atos de ingerência na administração da Contratada, tais como:</w:t>
      </w:r>
    </w:p>
    <w:p w:rsidR="00186A14" w:rsidRDefault="005A6ED7">
      <w:pPr>
        <w:numPr>
          <w:ilvl w:val="2"/>
          <w:numId w:val="9"/>
        </w:numPr>
        <w:pBdr>
          <w:top w:val="nil"/>
          <w:left w:val="nil"/>
          <w:bottom w:val="nil"/>
          <w:right w:val="nil"/>
          <w:between w:val="nil"/>
        </w:pBdr>
        <w:spacing w:before="120"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t>exercer</w:t>
      </w:r>
      <w:proofErr w:type="gramEnd"/>
      <w:r>
        <w:rPr>
          <w:rFonts w:ascii="Arial" w:eastAsia="Arial" w:hAnsi="Arial" w:cs="Arial"/>
          <w:color w:val="000000"/>
          <w:sz w:val="20"/>
          <w:szCs w:val="20"/>
        </w:rPr>
        <w:t xml:space="preserve"> o poder de mando sobre os empregados da Contratada, devendo reportar-se somente aos prepostos ou responsáveis por ela indicados, exceto quando o objeto da contratação previr o atendimento direto;</w:t>
      </w:r>
    </w:p>
    <w:p w:rsidR="00186A14" w:rsidRDefault="005A6ED7">
      <w:pPr>
        <w:numPr>
          <w:ilvl w:val="2"/>
          <w:numId w:val="9"/>
        </w:numPr>
        <w:pBdr>
          <w:top w:val="nil"/>
          <w:left w:val="nil"/>
          <w:bottom w:val="nil"/>
          <w:right w:val="nil"/>
          <w:between w:val="nil"/>
        </w:pBdr>
        <w:spacing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t>direcionar</w:t>
      </w:r>
      <w:proofErr w:type="gramEnd"/>
      <w:r>
        <w:rPr>
          <w:rFonts w:ascii="Arial" w:eastAsia="Arial" w:hAnsi="Arial" w:cs="Arial"/>
          <w:color w:val="000000"/>
          <w:sz w:val="20"/>
          <w:szCs w:val="20"/>
        </w:rPr>
        <w:t xml:space="preserve"> a contratação de pessoas para trabalhar nas empresas Contratadas;</w:t>
      </w:r>
    </w:p>
    <w:p w:rsidR="00186A14" w:rsidRDefault="005A6ED7">
      <w:pPr>
        <w:numPr>
          <w:ilvl w:val="2"/>
          <w:numId w:val="9"/>
        </w:numPr>
        <w:pBdr>
          <w:top w:val="nil"/>
          <w:left w:val="nil"/>
          <w:bottom w:val="nil"/>
          <w:right w:val="nil"/>
          <w:between w:val="nil"/>
        </w:pBdr>
        <w:spacing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t>promover</w:t>
      </w:r>
      <w:proofErr w:type="gramEnd"/>
      <w:r>
        <w:rPr>
          <w:rFonts w:ascii="Arial" w:eastAsia="Arial" w:hAnsi="Arial" w:cs="Arial"/>
          <w:color w:val="000000"/>
          <w:sz w:val="20"/>
          <w:szCs w:val="20"/>
        </w:rPr>
        <w:t xml:space="preserve"> ou aceitar o desvio de funções dos trabalhadores da Contratada, mediante a utilização destes em atividades distintas daquelas previstas no objeto da contratação e em relação à função específica para a qual o trabalhador foi contratado; e</w:t>
      </w:r>
    </w:p>
    <w:p w:rsidR="00186A14" w:rsidRDefault="005A6ED7">
      <w:pPr>
        <w:numPr>
          <w:ilvl w:val="2"/>
          <w:numId w:val="9"/>
        </w:numPr>
        <w:pBdr>
          <w:top w:val="nil"/>
          <w:left w:val="nil"/>
          <w:bottom w:val="nil"/>
          <w:right w:val="nil"/>
          <w:between w:val="nil"/>
        </w:pBdr>
        <w:spacing w:after="120" w:line="276" w:lineRule="auto"/>
        <w:ind w:left="1134" w:firstLine="0"/>
        <w:jc w:val="both"/>
        <w:rPr>
          <w:rFonts w:ascii="Arial" w:eastAsia="Arial" w:hAnsi="Arial" w:cs="Arial"/>
          <w:sz w:val="20"/>
          <w:szCs w:val="20"/>
        </w:rPr>
      </w:pPr>
      <w:proofErr w:type="gramStart"/>
      <w:r>
        <w:rPr>
          <w:rFonts w:ascii="Arial" w:eastAsia="Arial" w:hAnsi="Arial" w:cs="Arial"/>
          <w:color w:val="000000"/>
          <w:sz w:val="20"/>
          <w:szCs w:val="20"/>
        </w:rPr>
        <w:lastRenderedPageBreak/>
        <w:t>considerar</w:t>
      </w:r>
      <w:proofErr w:type="gramEnd"/>
      <w:r>
        <w:rPr>
          <w:rFonts w:ascii="Arial" w:eastAsia="Arial" w:hAnsi="Arial" w:cs="Arial"/>
          <w:color w:val="000000"/>
          <w:sz w:val="20"/>
          <w:szCs w:val="20"/>
        </w:rPr>
        <w:t xml:space="preserve"> os trabalhadores da Contratada como colaboradores eventuais do próprio órgão ou entidade responsável pela contratação, especialmente para efeito de concessão de diárias e passagens.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Fornecer por escrito as informações necessárias para o desenvolvimento dos serviços objeto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Realizar avaliações periódicas da qualidade dos serviços, após seu recebimento;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Cientificar o órgão de representação judicial da Advocacia-Geral da União para adoção das medidas cabíveis quando do descumprimento das obrigações pela Contratada; </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Arquivar, entre outros documentos, de projetos, "as </w:t>
      </w:r>
      <w:proofErr w:type="spellStart"/>
      <w:r>
        <w:rPr>
          <w:rFonts w:ascii="Arial" w:eastAsia="Arial" w:hAnsi="Arial" w:cs="Arial"/>
          <w:sz w:val="20"/>
          <w:szCs w:val="20"/>
        </w:rPr>
        <w:t>built</w:t>
      </w:r>
      <w:proofErr w:type="spellEnd"/>
      <w:r>
        <w:rPr>
          <w:rFonts w:ascii="Arial" w:eastAsia="Arial" w:hAnsi="Arial" w:cs="Arial"/>
          <w:sz w:val="20"/>
          <w:szCs w:val="20"/>
        </w:rPr>
        <w:t>", especificações técnicas, orçamentos, termos de recebimento, contratos e aditamentos, relatórios de inspeções técnicas após o recebimento do serviço e notificações expedidas;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Exigir da Contratada que providencie a seguinte documentação como condição indispensável para o recebimento definitivo de objeto, </w:t>
      </w:r>
      <w:r>
        <w:rPr>
          <w:rFonts w:ascii="Arial" w:eastAsia="Arial" w:hAnsi="Arial" w:cs="Arial"/>
          <w:sz w:val="20"/>
          <w:szCs w:val="20"/>
          <w:u w:val="single"/>
        </w:rPr>
        <w:t>quando for o caso</w:t>
      </w:r>
      <w:r>
        <w:rPr>
          <w:rFonts w:ascii="Arial" w:eastAsia="Arial" w:hAnsi="Arial" w:cs="Arial"/>
          <w:sz w:val="20"/>
          <w:szCs w:val="20"/>
        </w:rPr>
        <w:t>:</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w:t>
      </w:r>
      <w:r>
        <w:rPr>
          <w:rFonts w:ascii="Arial" w:eastAsia="Arial" w:hAnsi="Arial" w:cs="Arial"/>
          <w:i/>
          <w:sz w:val="20"/>
          <w:szCs w:val="20"/>
        </w:rPr>
        <w:t xml:space="preserve">as </w:t>
      </w:r>
      <w:proofErr w:type="spellStart"/>
      <w:r>
        <w:rPr>
          <w:rFonts w:ascii="Arial" w:eastAsia="Arial" w:hAnsi="Arial" w:cs="Arial"/>
          <w:i/>
          <w:sz w:val="20"/>
          <w:szCs w:val="20"/>
        </w:rPr>
        <w:t>built</w:t>
      </w:r>
      <w:proofErr w:type="spellEnd"/>
      <w:r>
        <w:rPr>
          <w:rFonts w:ascii="Arial" w:eastAsia="Arial" w:hAnsi="Arial" w:cs="Arial"/>
          <w:sz w:val="20"/>
          <w:szCs w:val="20"/>
        </w:rPr>
        <w:t>", elaborado pelo responsável por sua execução;</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comprovação</w:t>
      </w:r>
      <w:proofErr w:type="gramEnd"/>
      <w:r>
        <w:rPr>
          <w:rFonts w:ascii="Arial" w:eastAsia="Arial" w:hAnsi="Arial" w:cs="Arial"/>
          <w:sz w:val="20"/>
          <w:szCs w:val="20"/>
        </w:rPr>
        <w:t xml:space="preserve"> das ligações definitivas de energia, água, telefone e gás;</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laudo</w:t>
      </w:r>
      <w:proofErr w:type="gramEnd"/>
      <w:r>
        <w:rPr>
          <w:rFonts w:ascii="Arial" w:eastAsia="Arial" w:hAnsi="Arial" w:cs="Arial"/>
          <w:sz w:val="20"/>
          <w:szCs w:val="20"/>
        </w:rPr>
        <w:t xml:space="preserve"> de vistoria do corpo de bombeiros aprovando o serviço;</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carta</w:t>
      </w:r>
      <w:proofErr w:type="gramEnd"/>
      <w:r>
        <w:rPr>
          <w:rFonts w:ascii="Arial" w:eastAsia="Arial" w:hAnsi="Arial" w:cs="Arial"/>
          <w:sz w:val="20"/>
          <w:szCs w:val="20"/>
        </w:rPr>
        <w:t xml:space="preserve"> "habite-se", emitida pela prefeitura;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certidão</w:t>
      </w:r>
      <w:proofErr w:type="gramEnd"/>
      <w:r>
        <w:rPr>
          <w:rFonts w:ascii="Arial" w:eastAsia="Arial" w:hAnsi="Arial" w:cs="Arial"/>
          <w:sz w:val="20"/>
          <w:szCs w:val="20"/>
        </w:rPr>
        <w:t xml:space="preserve"> negativa de débitos previdenciários específica para o registro da obra junto ao Cartório de Registro de Imóveis;</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a</w:t>
      </w:r>
      <w:proofErr w:type="gramEnd"/>
      <w:r>
        <w:rPr>
          <w:rFonts w:ascii="Arial" w:eastAsia="Arial" w:hAnsi="Arial" w:cs="Arial"/>
          <w:sz w:val="20"/>
          <w:szCs w:val="20"/>
        </w:rPr>
        <w:t xml:space="preserve"> reparação dos vícios verificados dentro do prazo de garantia do serviço, tendo em vista o direito assegurado à Contratante no art. 69 da Lei nº 8.666/93 e no art. 12 da Lei nº 8.078/90 (Código de Defesa do Consumidor). </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Fiscalizar o cumprimento dos requisitos legais, quando a contratada houver se beneficiado da preferência estabelecida pelo art. 3º, § 5º, da Lei nº 8.666, de 1993.</w:t>
      </w:r>
    </w:p>
    <w:p w:rsidR="00186A14" w:rsidRDefault="00186A14">
      <w:pPr>
        <w:ind w:left="714" w:right="-431" w:hanging="10"/>
        <w:jc w:val="both"/>
        <w:rPr>
          <w:rFonts w:ascii="Arial" w:eastAsia="Arial" w:hAnsi="Arial" w:cs="Arial"/>
          <w:sz w:val="20"/>
          <w:szCs w:val="20"/>
        </w:rPr>
      </w:pPr>
    </w:p>
    <w:p w:rsidR="00186A14" w:rsidRDefault="005A6ED7">
      <w:pPr>
        <w:numPr>
          <w:ilvl w:val="0"/>
          <w:numId w:val="9"/>
        </w:numPr>
        <w:spacing w:after="120"/>
        <w:ind w:left="0" w:hanging="142"/>
        <w:jc w:val="both"/>
        <w:rPr>
          <w:rFonts w:ascii="Arial" w:eastAsia="Arial" w:hAnsi="Arial" w:cs="Arial"/>
          <w:b/>
          <w:sz w:val="20"/>
          <w:szCs w:val="20"/>
        </w:rPr>
      </w:pPr>
      <w:r>
        <w:rPr>
          <w:rFonts w:ascii="Arial" w:eastAsia="Arial" w:hAnsi="Arial" w:cs="Arial"/>
          <w:b/>
          <w:sz w:val="20"/>
          <w:szCs w:val="20"/>
        </w:rPr>
        <w:t>OBRIGAÇÕES DA CONTRATADA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Executar o contrato conforme especificações deste Projeto Básico e de sua proposta, com a alocação dos empregados necessários ao perfeito cumprimento das cláusulas contratuais, </w:t>
      </w:r>
      <w:r>
        <w:rPr>
          <w:rFonts w:ascii="Arial" w:eastAsia="Arial" w:hAnsi="Arial" w:cs="Arial"/>
          <w:sz w:val="20"/>
          <w:szCs w:val="20"/>
        </w:rPr>
        <w:t>além de fornecer e utilizar os materiais e equipamentos, ferramentas e utensílios necessários, na qualidade e quantidade mínimas especificadas neste Projeto Básico e em sua proposta</w:t>
      </w:r>
      <w:r>
        <w:rPr>
          <w:rFonts w:ascii="Arial" w:eastAsia="Arial" w:hAnsi="Arial" w:cs="Arial"/>
          <w:color w:val="000000"/>
          <w:sz w:val="20"/>
          <w:szCs w:val="20"/>
        </w:rPr>
        <w:t>;</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Reparar, corrigir, remover ou substituir, às suas expensas, no total ou em parte, no prazo fixado pelo fiscal do contrato, os serviços/obras efetuados em que se verificarem vícios, defeitos ou incorreções resultantes da execução ou dos materiais empregados;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Responsabilizar-se pelos vícios e danos decorrentes da execução do objeto, de acordo com os artigos 14 e 17 a 27, do Código de Defesa do Consumidor (Lei nº 8.078, de 1990), ficando a Contratante autorizada a descontar da garantia prestada, caso exigida no edital, ou dos pagamentos devidos à Contratada, o valor correspondente aos danos sofridos;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Utilizar empregados habilitados e com conhecimentos básicos do objeto a ser executado, em conformidade com as normas e determinações em vigor;</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Vedar a utilização, na execução dos serviços, de empregado que seja familiar de agente público ocupante de cargo em comissão ou função de confiança no órgão Contratante, nos termos do artigo 7° do Decreto n° 7.203, de 2010;</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Quando não for possível a verificação da regularidade no Sistema de Cadastro de Fornecedores – SICAF, a empresa contratada deverá entregar ao setor responsável pela fiscalização do contrato, até o dia trinta do mês seguinte ao da prestação dos serviços, os seguintes documentos: 1) prova de regularidade relativa à Seguridade Social; 2) certidão conjunta relativa aos tributos federais e à Dívida Ativa da União; 3) certidões que comprovem a regularidade perante as Fazendas Estadual, Distrital e Municipal do domicílio ou sede do contratado; 4) Certidão de Regularidade do FGTS – CRF; e 5) Certidão Negativa de Débitos Trabalhistas – CNDT, conforme alínea "c" do item 10.2 do Anexo VIII-B da IN SEGES/MP n. 5/2017;</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Responsabilizar-se pelo cumprimento das obrigações previstas em Acordo, Convenção, Dissídio Coletivo de Trabalho ou equivalentes das categorias abrangidas pelo contrato, por todas as obrigações trabalhistas, sociais, previdenciárias, tributárias e as demais previstas em legislação específica, cuja inadimplência não transfere a responsabilidade à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Comunicar ao Fiscal do contrato, no prazo de 24 (vinte e quatro) horas, qualquer ocorrência anormal ou acidente que se verifique no local dos serviços.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Assegurar aos seus trabalhadores ambiente de trabalho, inclusive equipamentos e instalações, em condições adequadas ao cumprimento das normas de saúde, segurança e bem-estar no trabalho;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Prestar todo esclarecimento ou informação solicitada pela Contratante ou por seus prepostos, garantindo-lhes o acesso, a qualquer tempo, ao local dos trabalhos, bem como aos documentos relativos à execução do empreendimento.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Paralisar, por determinação da Contratante, qualquer atividade que não esteja sendo executada de acordo com a boa técnica ou que ponha em risco a segurança de pessoas ou bens de terceiros.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 xml:space="preserve"> Promover a guarda, manutenção e vigilância de materiais, ferramentas, e tudo o que for necessário à execução dos serviços, durante a vigência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Promover a organização técnica e administrativa dos serviços, de modo a conduzi-los eficaz e eficientemente, de acordo com os documentos e especificações que integram este Projeto Básico, no prazo determinado.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Conduzir os trabalhos com estrita observância às normas da legislação pertinente, cumprindo as determinações dos Poderes Públicos, mantendo sempre limpo o local dos serviços e nas melhores condições de segurança, higiene e disciplina.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Submeter previamente, por escrito, à Contratante, para análise e aprovação, quaisquer mudanças nos métodos executivos que fujam às especificações do memorial descritivo.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Não permitir a utilização de qualquer trabalho do menor de dezesseis anos, exceto na condição de aprendiz para os maiores de quatorze anos; nem permitir a utilização do trabalho do menor de dezoito anos em trabalho noturno, perigoso ou insalubre;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Manter durante toda a vigência do contrato, em compatibilidade com as obrigações assumidas, todas as condições de habilitação e qualificação exigidas na licitação;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Guardar sigilo sobre todas as informações obtidas em decorrência do cumprimento do contrato;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 1º do art. 57 da Lei nº 8.666, de 1993;</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Cumprir, além dos postulados legais vigentes de âmbito federal, estadual ou municipal, as normas de segurança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Assegurar à CONTRATANTE, em conformidade com o previsto no subitem 6.1, “</w:t>
      </w:r>
      <w:proofErr w:type="spellStart"/>
      <w:r>
        <w:rPr>
          <w:rFonts w:ascii="Arial" w:eastAsia="Arial" w:hAnsi="Arial" w:cs="Arial"/>
          <w:color w:val="000000"/>
          <w:sz w:val="20"/>
          <w:szCs w:val="20"/>
        </w:rPr>
        <w:t>a”e</w:t>
      </w:r>
      <w:proofErr w:type="spellEnd"/>
      <w:r>
        <w:rPr>
          <w:rFonts w:ascii="Arial" w:eastAsia="Arial" w:hAnsi="Arial" w:cs="Arial"/>
          <w:color w:val="000000"/>
          <w:sz w:val="20"/>
          <w:szCs w:val="20"/>
        </w:rPr>
        <w:t xml:space="preserve"> “b”, do Anexo VII – F da Instrução Normativa SEGES/MP nº 5, de 25/05/2017:</w:t>
      </w:r>
    </w:p>
    <w:p w:rsidR="00186A14" w:rsidRDefault="005A6ED7">
      <w:pPr>
        <w:numPr>
          <w:ilvl w:val="2"/>
          <w:numId w:val="9"/>
        </w:numPr>
        <w:pBdr>
          <w:top w:val="nil"/>
          <w:left w:val="nil"/>
          <w:bottom w:val="nil"/>
          <w:right w:val="nil"/>
          <w:between w:val="nil"/>
        </w:pBdr>
        <w:spacing w:before="120" w:line="276" w:lineRule="auto"/>
        <w:jc w:val="both"/>
        <w:rPr>
          <w:rFonts w:ascii="Arial" w:eastAsia="Arial" w:hAnsi="Arial" w:cs="Arial"/>
          <w:sz w:val="20"/>
          <w:szCs w:val="20"/>
        </w:rPr>
      </w:pPr>
      <w:r>
        <w:rPr>
          <w:rFonts w:ascii="Arial" w:eastAsia="Arial" w:hAnsi="Arial" w:cs="Arial"/>
          <w:color w:val="000000"/>
          <w:sz w:val="20"/>
          <w:szCs w:val="20"/>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186A14" w:rsidRDefault="005A6ED7">
      <w:pPr>
        <w:numPr>
          <w:ilvl w:val="2"/>
          <w:numId w:val="9"/>
        </w:numPr>
        <w:pBdr>
          <w:top w:val="nil"/>
          <w:left w:val="nil"/>
          <w:bottom w:val="nil"/>
          <w:right w:val="nil"/>
          <w:between w:val="nil"/>
        </w:pBdr>
        <w:spacing w:after="120" w:line="276" w:lineRule="auto"/>
        <w:jc w:val="both"/>
        <w:rPr>
          <w:rFonts w:ascii="Arial" w:eastAsia="Arial" w:hAnsi="Arial" w:cs="Arial"/>
          <w:sz w:val="20"/>
          <w:szCs w:val="20"/>
        </w:rPr>
      </w:pPr>
      <w:r>
        <w:rPr>
          <w:rFonts w:ascii="Arial" w:eastAsia="Arial" w:hAnsi="Arial" w:cs="Arial"/>
          <w:color w:val="000000"/>
          <w:sz w:val="20"/>
          <w:szCs w:val="20"/>
        </w:rPr>
        <w:t>Os direitos autorais da solução, do projeto, de suas especificações técnicas, da documentação produzida e congêneres, e de 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Realizar a transição contratual com transferência de conhecimento, tecnologia e técnicas empregadas, sem perda de informações, podendo exigir, inclusive, a capacitação dos técnicos da contratante ou da nova empresa que continuará a execução dos serviços.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Manter os empregados nos horários predeterminados pela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Apresentar os empregados devidamente identificados por meio de crachá;</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lastRenderedPageBreak/>
        <w:t>Apresentar à Contratante, quando for o caso, a relação nominal dos empregados que adentrarão no órgão para a execução do serviço;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Atender às solicitações da Contratante quanto à substituição dos empregados alocados, no prazo fixado pela fiscalização do contrato, nos casos em que ficar constatado descumprimento das obrigações relativas à execução do serviço, conforme descrito neste Projeto Básico;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Manter preposto aceito pela Contratante nos horários e locais de prestação de serviço para representá-la na execução do contrato com capacidade para tomar decisões compatíveis com os compromissos assumidos;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color w:val="000000"/>
          <w:sz w:val="20"/>
          <w:szCs w:val="20"/>
        </w:rPr>
        <w:t>Instruir os seus empregados, quanto à prevenção de incêndios nas áreas da Contratante;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Adotar as providências e precauções necessárias, inclusive consulta nos respectivos órgãos, se necessário for, a fim de que não venham a ser danificadas as redes </w:t>
      </w:r>
      <w:proofErr w:type="spellStart"/>
      <w:r>
        <w:rPr>
          <w:rFonts w:ascii="Arial" w:eastAsia="Arial" w:hAnsi="Arial" w:cs="Arial"/>
          <w:sz w:val="20"/>
          <w:szCs w:val="20"/>
        </w:rPr>
        <w:t>hidrossanitárias</w:t>
      </w:r>
      <w:proofErr w:type="spellEnd"/>
      <w:r>
        <w:rPr>
          <w:rFonts w:ascii="Arial" w:eastAsia="Arial" w:hAnsi="Arial" w:cs="Arial"/>
          <w:sz w:val="20"/>
          <w:szCs w:val="20"/>
        </w:rPr>
        <w:t>, elétricas e de comunicação.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 Providenciar junto ao CREA e/ou ao CAU-BR as Anotações e Registros de Responsabilidade Técnica referentes ao objeto do contrato e especialidades pertinentes, nos termos das normas pertinentes (Leis </w:t>
      </w:r>
      <w:proofErr w:type="spellStart"/>
      <w:r>
        <w:rPr>
          <w:rFonts w:ascii="Arial" w:eastAsia="Arial" w:hAnsi="Arial" w:cs="Arial"/>
          <w:sz w:val="20"/>
          <w:szCs w:val="20"/>
        </w:rPr>
        <w:t>ns</w:t>
      </w:r>
      <w:proofErr w:type="spellEnd"/>
      <w:r>
        <w:rPr>
          <w:rFonts w:ascii="Arial" w:eastAsia="Arial" w:hAnsi="Arial" w:cs="Arial"/>
          <w:sz w:val="20"/>
          <w:szCs w:val="20"/>
        </w:rPr>
        <w:t>. 6.496/77 e 12.378/2010);</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Obter junto aos órgãos competentes, conforme o caso, as licenças necessárias e demais documentos e autorizações exigíveis, na forma da legislação aplicável;</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Elaborar o Diário de Obra, incluindo diariamente, pelo Engenheiro preposto responsável, as informações sobre o andamento do empreendimento, tais como, número de funcionários, de equipamentos, condições de trabalho, condições meteorológicas, serviços executados, registro de ocorrências e outros fatos relacionados, bem como os comunicados à Fiscalização e situação das atividades em relação ao cronograma previsto.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Refazer, às suas expensas, os trabalhos executados em desacordo com o estabelecido no instrumento contratual, neste </w:t>
      </w:r>
      <w:r>
        <w:rPr>
          <w:rFonts w:ascii="Arial" w:eastAsia="Arial" w:hAnsi="Arial" w:cs="Arial"/>
          <w:color w:val="000000"/>
          <w:sz w:val="20"/>
          <w:szCs w:val="20"/>
        </w:rPr>
        <w:t>Projeto Básico</w:t>
      </w:r>
      <w:r>
        <w:rPr>
          <w:rFonts w:ascii="Arial" w:eastAsia="Arial" w:hAnsi="Arial" w:cs="Arial"/>
          <w:sz w:val="20"/>
          <w:szCs w:val="20"/>
        </w:rPr>
        <w:t xml:space="preserve"> e seus anexos, bem como substituir aqueles realizados com materiais defeituosos ou com vício de construção, pelo prazo de 05 (cinco) anos, contado da data de emissão do Termo de Recebimento Definitivo.</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Utilizar somente matéria-prima florestal procedente, nos termos do artigo 11 do Decreto n° 5.975, de 2006, de: (a) manejo florestal, realizado por meio de Plano de Manejo Florestal Sustentável - PMFS  devidamente aprovado pelo órgão competente do Sistema Nacional do Meio Ambiente - SISNAMA; (b) supressão da vegetação natural, devidamente autorizada pelo órgão competente do Sistema Nacional do Meio Ambiente - SISNAMA; (c) florestas plantadas; e (d) outras fontes de biomassa florestal, definidas em normas específicas do órgão ambiental competente.</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Comprovar a procedência legal dos produtos ou subprodutos florestais utilizados em cada etapa da execução contratual, nos termos do artigo 4°, inciso IX, da Instrução Normativa SLTI/MP n° 1, de 19/01/2010, por ocasião da respectiva medição, mediante a apresentação dos seguintes documentos, conforme o caso: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lastRenderedPageBreak/>
        <w:t xml:space="preserve">Cópias autenticadas das notas fiscais de aquisição dos produtos ou subprodutos florestais; </w:t>
      </w:r>
    </w:p>
    <w:p w:rsidR="00186A14" w:rsidRDefault="005A6ED7">
      <w:pPr>
        <w:numPr>
          <w:ilvl w:val="2"/>
          <w:numId w:val="9"/>
        </w:numPr>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Cópia dos Comprovantes de Registro do fornecedor e do transportador dos produtos ou subprodutos florestais junto ao Cadastro Técnico Federal de Atividades Potencialmente Poluidoras ou Utilizadoras de Recursos Ambientais - CTF, mantido pelo IBAMA, quando tal inscrição for obrigatória, acompanhados dos respectivos Certificados de Regularidade válidos, conforme artigo 17, inciso II, da Lei n° 6.938, de 1981, e Instrução Normativa IBAMA n° 5, de 15/03/2014, e legislação correlata;</w:t>
      </w:r>
    </w:p>
    <w:p w:rsidR="00186A14" w:rsidRDefault="005A6ED7">
      <w:pPr>
        <w:numPr>
          <w:ilvl w:val="2"/>
          <w:numId w:val="9"/>
        </w:numPr>
        <w:pBdr>
          <w:top w:val="nil"/>
          <w:left w:val="nil"/>
          <w:bottom w:val="nil"/>
          <w:right w:val="nil"/>
          <w:between w:val="nil"/>
        </w:pBdr>
        <w:spacing w:before="120" w:after="120" w:line="276" w:lineRule="auto"/>
        <w:ind w:left="1134" w:firstLine="0"/>
        <w:jc w:val="both"/>
        <w:rPr>
          <w:rFonts w:ascii="Arial" w:eastAsia="Arial" w:hAnsi="Arial" w:cs="Arial"/>
          <w:sz w:val="20"/>
          <w:szCs w:val="20"/>
        </w:rPr>
      </w:pPr>
      <w:r>
        <w:rPr>
          <w:rFonts w:ascii="Arial" w:eastAsia="Arial" w:hAnsi="Arial" w:cs="Arial"/>
          <w:color w:val="000000"/>
          <w:sz w:val="20"/>
          <w:szCs w:val="20"/>
        </w:rPr>
        <w:t>Documento de Origem Florestal – DOF, instituído pela Portaria n° 253, de 18/08/2006, do Ministério do Meio Ambiente, e Instrução Normativa IBAMA n° 21, de 24/12/2014, quando se tratar de produtos ou subprodutos florestais de origem nativa cujo transporte e armazenamento exijam a emissão de tal licença obrigatória.</w:t>
      </w:r>
    </w:p>
    <w:p w:rsidR="00186A14" w:rsidRDefault="005A6ED7">
      <w:pPr>
        <w:numPr>
          <w:ilvl w:val="3"/>
          <w:numId w:val="9"/>
        </w:numPr>
        <w:spacing w:before="120" w:after="120" w:line="276" w:lineRule="auto"/>
        <w:ind w:left="1701" w:firstLine="0"/>
        <w:jc w:val="both"/>
        <w:rPr>
          <w:rFonts w:ascii="Arial" w:eastAsia="Arial" w:hAnsi="Arial" w:cs="Arial"/>
          <w:color w:val="000000"/>
          <w:sz w:val="20"/>
          <w:szCs w:val="20"/>
        </w:rPr>
      </w:pPr>
      <w:r>
        <w:rPr>
          <w:rFonts w:ascii="Arial" w:eastAsia="Arial" w:hAnsi="Arial" w:cs="Arial"/>
          <w:sz w:val="20"/>
          <w:szCs w:val="20"/>
        </w:rPr>
        <w:t>Caso os produtos ou subprodutos florestais utilizados na execução contratual tenham origem em Estado que possua documento de controle próprio, a CONTRATADA deverá apresentá-lo, em complementação ao DOF, a fim de demonstrar a regularidade do transporte e armazenamento nos limites do território estadual.</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Observar as diretrizes, critérios e procedimentos para a gestão dos resíduos da construção civil estabelecidos na Resolução nº 307, de 05/07/2002, com as alterações posteriores, do Conselho Nacional de Meio Ambiente - CONAMA, conforme artigo 4°, §§ 2° e 3°, da Instrução Normativa SLTI/MP n° 1, de 19/01/2010, nos seguintes termos:</w:t>
      </w:r>
    </w:p>
    <w:p w:rsidR="00186A14" w:rsidRDefault="005A6ED7">
      <w:pPr>
        <w:numPr>
          <w:ilvl w:val="2"/>
          <w:numId w:val="9"/>
        </w:numPr>
        <w:tabs>
          <w:tab w:val="left" w:pos="156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O gerenciamento dos resíduos originários da contratação deverá obedecer às diretrizes técnicas e procedimentos do Programa Municipal de Gerenciamento de Resíduos da Construção Civil, ou do Projeto de Gerenciamento de Resíduos da Construção Civil apresentado ao órgão competente, conforme o caso;</w:t>
      </w:r>
    </w:p>
    <w:p w:rsidR="00186A14" w:rsidRDefault="005A6ED7">
      <w:pPr>
        <w:numPr>
          <w:ilvl w:val="2"/>
          <w:numId w:val="9"/>
        </w:numPr>
        <w:tabs>
          <w:tab w:val="left" w:pos="156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Nos termos dos artigos 3° e 10° da Resolução CONAMA n° 307, de 05/07/2002, a CONTRATADA deverá providenciar a destinação ambientalmente adequada dos resíduos da construção civil originários da contratação, obedecendo, no que couber, aos seguintes procedimentos:</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t>resíduos</w:t>
      </w:r>
      <w:proofErr w:type="gramEnd"/>
      <w:r>
        <w:rPr>
          <w:rFonts w:ascii="Arial" w:eastAsia="Arial" w:hAnsi="Arial" w:cs="Arial"/>
          <w:sz w:val="20"/>
          <w:szCs w:val="20"/>
        </w:rPr>
        <w:t xml:space="preserve"> Classe A (reutilizáveis ou recicláveis como agregados): deverão ser reutilizados ou reciclados na forma de agregados, ou encaminhados a aterros de resíduos classe A de </w:t>
      </w:r>
      <w:proofErr w:type="spellStart"/>
      <w:r>
        <w:rPr>
          <w:rFonts w:ascii="Arial" w:eastAsia="Arial" w:hAnsi="Arial" w:cs="Arial"/>
          <w:sz w:val="20"/>
          <w:szCs w:val="20"/>
        </w:rPr>
        <w:t>reservação</w:t>
      </w:r>
      <w:proofErr w:type="spellEnd"/>
      <w:r>
        <w:rPr>
          <w:rFonts w:ascii="Arial" w:eastAsia="Arial" w:hAnsi="Arial" w:cs="Arial"/>
          <w:sz w:val="20"/>
          <w:szCs w:val="20"/>
        </w:rPr>
        <w:t xml:space="preserve"> de material para usos futuros; </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t>resíduos</w:t>
      </w:r>
      <w:proofErr w:type="gramEnd"/>
      <w:r>
        <w:rPr>
          <w:rFonts w:ascii="Arial" w:eastAsia="Arial" w:hAnsi="Arial" w:cs="Arial"/>
          <w:sz w:val="20"/>
          <w:szCs w:val="20"/>
        </w:rPr>
        <w:t xml:space="preserve"> Classe B (recicláveis para outras destinações): deverão ser reutilizados, reciclados ou encaminhados a áreas de armazenamento temporário, sendo dispostos de modo a permitir a sua utilização ou reciclagem futura;</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t>resíduos</w:t>
      </w:r>
      <w:proofErr w:type="gramEnd"/>
      <w:r>
        <w:rPr>
          <w:rFonts w:ascii="Arial" w:eastAsia="Arial" w:hAnsi="Arial" w:cs="Arial"/>
          <w:sz w:val="20"/>
          <w:szCs w:val="20"/>
        </w:rPr>
        <w:t xml:space="preserve"> Classe C (para os quais não foram desenvolvidas tecnologias ou aplicações economicamente viáveis que permitam a sua reciclagem/recuperação): deverão ser armazenados, transportados e destinados em conformidade com as normas técnicas específicas;</w:t>
      </w:r>
    </w:p>
    <w:p w:rsidR="00186A14" w:rsidRDefault="005A6ED7">
      <w:pPr>
        <w:numPr>
          <w:ilvl w:val="3"/>
          <w:numId w:val="9"/>
        </w:numPr>
        <w:tabs>
          <w:tab w:val="left" w:pos="2410"/>
        </w:tabs>
        <w:spacing w:before="120" w:after="120" w:line="276" w:lineRule="auto"/>
        <w:ind w:left="1701" w:firstLine="0"/>
        <w:jc w:val="both"/>
        <w:rPr>
          <w:rFonts w:ascii="Arial" w:eastAsia="Arial" w:hAnsi="Arial" w:cs="Arial"/>
          <w:sz w:val="20"/>
          <w:szCs w:val="20"/>
        </w:rPr>
      </w:pPr>
      <w:proofErr w:type="gramStart"/>
      <w:r>
        <w:rPr>
          <w:rFonts w:ascii="Arial" w:eastAsia="Arial" w:hAnsi="Arial" w:cs="Arial"/>
          <w:sz w:val="20"/>
          <w:szCs w:val="20"/>
        </w:rPr>
        <w:lastRenderedPageBreak/>
        <w:t>resíduos</w:t>
      </w:r>
      <w:proofErr w:type="gramEnd"/>
      <w:r>
        <w:rPr>
          <w:rFonts w:ascii="Arial" w:eastAsia="Arial" w:hAnsi="Arial" w:cs="Arial"/>
          <w:sz w:val="20"/>
          <w:szCs w:val="20"/>
        </w:rPr>
        <w:t xml:space="preserve"> Classe D (perigosos, contaminados ou prejudiciais à saúde): deverão ser armazenados, transportados, reutilizados e destinados em conformidade com as normas técnicas específicas.</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Em nenhuma hipótese a Contratada poderá dispor os resíduos originários da contratação em aterros de resíduos sólidos urbanos, áreas de “bota fora”, encostas, corpos d´água, lotes vagos e áreas protegidas por Lei, bem como em áreas não licenciadas;</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Para fins de fiscalização do fiel cumprimento do Programa Municipal de Gerenciamento de Resíduos da Construção Civil, ou do Projeto de Gerenciamento de Resíduos da Construção Civil, conforme o caso, a contratada comprovará, sob pena de multa, que todos os resíduos removidos estão acompanhados de Controle de Transporte de Resíduos, em conformidade com as normas da Agência Brasileira de Normas Técnicas - ABNT, ABNT NBR </w:t>
      </w:r>
      <w:proofErr w:type="spellStart"/>
      <w:r>
        <w:rPr>
          <w:rFonts w:ascii="Arial" w:eastAsia="Arial" w:hAnsi="Arial" w:cs="Arial"/>
          <w:sz w:val="20"/>
          <w:szCs w:val="20"/>
        </w:rPr>
        <w:t>ns</w:t>
      </w:r>
      <w:proofErr w:type="spellEnd"/>
      <w:r>
        <w:rPr>
          <w:rFonts w:ascii="Arial" w:eastAsia="Arial" w:hAnsi="Arial" w:cs="Arial"/>
          <w:sz w:val="20"/>
          <w:szCs w:val="20"/>
        </w:rPr>
        <w:t>. 15.112, 15.113, 15.114, 15.115 e 15.116, de 2004.</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Observar as seguintes diretrizes de caráter ambiental:</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Qualquer instalação, equipamento ou processo, situado em local fixo, que libere ou emita matéria para a atmosfera, por emissão pontual ou fugitiva, utilizado na execução contratual, deverá respeitar os limites máximos de emissão de poluentes admitidos na Resolução CONAMA n° 382, de 26/12/2006, e legislação correlata, de acordo com o poluente e o tipo de fonte;</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Na execução contratual, conforme o caso, a emissão de ruídos não poderá ultrapassar os níveis considerados aceitáveis pela Norma NBR-10.151 - Avaliação do Ruído em Áreas Habitadas visando o conforto da comunidade, da Associação Brasileira de Normas Técnicas - ABNT, ou aqueles estabelecidos na NBR-10.152 - Níveis de Ruído para conforto acústico, da Associação Brasileira de Normas Técnicas - ABNT, nos termos da Resolução CONAMA n° 01, de 08/03/90, e legislação correlata;</w:t>
      </w:r>
    </w:p>
    <w:p w:rsidR="00186A14" w:rsidRDefault="005A6ED7">
      <w:pPr>
        <w:numPr>
          <w:ilvl w:val="2"/>
          <w:numId w:val="9"/>
        </w:numPr>
        <w:tabs>
          <w:tab w:val="left" w:pos="1701"/>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Nos termos do artigo 4°, § 3°, da Instrução Normativa SLTI/MPOG n° 1, de 19/01/2010, deverão ser utilizados, na execução contratual, agregados reciclados, sempre que existir a oferta de tais materiais, capacidade de suprimento e custo inferior em relação aos agregados naturais, inserindo-se na planilha de formação de preços os custos correspondentes;</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Responder por qualquer acidente de trabalho na execução dos serviços, por uso indevido de patentes registradas em nome de terceiros, por qualquer causa de destruição, danificação, defeitos ou incorreções dos serviços ou dos bens da Contratante, de seus funcionários ou de terceiros, ainda que ocorridos em via pública junto à obra.</w:t>
      </w: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Realizar, conforme o caso, por meio de laboratórios previamente aprovados pela fiscalização e sob suas custas, os testes, ensaios, exames e provas necessárias ao controle de qualidade dos materiais, serviços e equipamentos a serem aplicados nos trabalhos, conforme procedimento previsto neste </w:t>
      </w:r>
      <w:r>
        <w:rPr>
          <w:rFonts w:ascii="Arial" w:eastAsia="Arial" w:hAnsi="Arial" w:cs="Arial"/>
          <w:color w:val="000000"/>
          <w:sz w:val="20"/>
          <w:szCs w:val="20"/>
        </w:rPr>
        <w:t>Projeto Básico</w:t>
      </w:r>
      <w:r>
        <w:rPr>
          <w:rFonts w:ascii="Arial" w:eastAsia="Arial" w:hAnsi="Arial" w:cs="Arial"/>
          <w:sz w:val="20"/>
          <w:szCs w:val="20"/>
        </w:rPr>
        <w:t xml:space="preserve"> e demais documentos anexos;</w:t>
      </w:r>
    </w:p>
    <w:p w:rsidR="00186A14" w:rsidRDefault="005A6ED7">
      <w:pPr>
        <w:numPr>
          <w:ilvl w:val="1"/>
          <w:numId w:val="9"/>
        </w:numPr>
        <w:spacing w:before="120" w:after="120" w:line="276" w:lineRule="auto"/>
        <w:ind w:left="425" w:firstLine="0"/>
        <w:jc w:val="both"/>
        <w:rPr>
          <w:rFonts w:ascii="Arial" w:eastAsia="Arial" w:hAnsi="Arial" w:cs="Arial"/>
          <w:b/>
          <w:sz w:val="20"/>
          <w:szCs w:val="20"/>
        </w:rPr>
      </w:pPr>
      <w:r>
        <w:rPr>
          <w:rFonts w:ascii="Arial" w:eastAsia="Arial" w:hAnsi="Arial" w:cs="Arial"/>
          <w:sz w:val="20"/>
          <w:szCs w:val="20"/>
        </w:rPr>
        <w:t xml:space="preserve">Providenciar, conforme o caso, as ligações definitivas das utilidades previstas no projeto (água, esgoto, gás, energia elétrica, telefone, etc.), bem como atuar junto aos órgãos federais, estaduais e municipais e concessionárias de serviços públicos para a obtenção de </w:t>
      </w:r>
      <w:r>
        <w:rPr>
          <w:rFonts w:ascii="Arial" w:eastAsia="Arial" w:hAnsi="Arial" w:cs="Arial"/>
          <w:sz w:val="20"/>
          <w:szCs w:val="20"/>
        </w:rPr>
        <w:lastRenderedPageBreak/>
        <w:t>licenças e regularização dos serviços e atividades concluídas (ex.: Habite-se, Licença Ambiental de Operação, etc.);</w:t>
      </w:r>
    </w:p>
    <w:p w:rsidR="00186A14" w:rsidRDefault="005A6ED7">
      <w:pPr>
        <w:numPr>
          <w:ilvl w:val="1"/>
          <w:numId w:val="9"/>
        </w:numPr>
        <w:spacing w:before="120" w:after="120" w:line="276" w:lineRule="auto"/>
        <w:jc w:val="both"/>
        <w:rPr>
          <w:rFonts w:ascii="Arial" w:eastAsia="Arial" w:hAnsi="Arial" w:cs="Arial"/>
          <w:sz w:val="20"/>
          <w:szCs w:val="20"/>
        </w:rPr>
      </w:pPr>
      <w:r>
        <w:rPr>
          <w:rFonts w:ascii="Arial" w:eastAsia="Arial" w:hAnsi="Arial" w:cs="Arial"/>
          <w:sz w:val="20"/>
          <w:szCs w:val="20"/>
        </w:rPr>
        <w:t>No caso de execução de obra:</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Cumprir o Acordo, Dissídio, Convenção Coletiva ou equivalente, relativo à categoria profissional abrangida no contrato bem como da legislação em vigor e não havendo na região Acordo, Dissídio ou Convenção Coletiva relativa à categoria profissional abrangida no contrato, garantir os direitos trabalhistas, fixado em regulamento de trabalho ou profissão de natureza similar da região mais próxima;</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que a Administração Pública não se vincula às disposições contidas em Acordos, Dissídios ou Convenções Coletivas que tratem de pagamento de participação dos trabalhadores nos lucros ou resultados da empresa contratada, de matéria não trabalhista, ou que estabeleçam direitos não previstos em lei, tais como valores ou índices obrigatórios de encargos sociais ou previdenciários, bem como de preços para os insumos relacionados ao exercício da atividade;</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a rescisão do contrato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Reconhecer sua responsabilidade exclusiva da contratada sobre a quitação dos encargos trabalhistas e sociais decorrentes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Apresentar a comprovação, conforme solicitado pela contratada, do cumprimento das obrigações trabalhistas, previdenciárias e para com o FGTS, em relação aos empregados da contratada que efetivamente participarem da execução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Aceitar, em caso de descumprimento da obrigação acima, a retenção do pagamento da fatura mensal, em valor proporcional ao inadimplemento, até que a situação seja regularizada e não havendo quitação das obrigações por parte da contratada no prazo de quinze dias, aceitar que contratante efetue o pagamento das obrigações diretamente aos empregados da contratada que tenham participado da execução dos serviços objeto do contrato;</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Observar os preceitos da legislação sobre a jornada de trabalho, conforme a categoria profissional; </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Subcontratar somente empresas que aceitem expressamente as obrigações estabelecidas na Instrução Normativa SEGES/MP nº 6, de 6 de julho de 2018.</w:t>
      </w:r>
    </w:p>
    <w:p w:rsidR="00186A14" w:rsidRDefault="005A6ED7">
      <w:pPr>
        <w:numPr>
          <w:ilvl w:val="2"/>
          <w:numId w:val="9"/>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Inscrever a Obra no Cadastro Nacional de Obras – CNO da Receita Federal do Brasil em até 30 (trinta) dias contados do início das atividades, em conformidade com a Instrução Normativa RFB nº 1845, de 22 de </w:t>
      </w:r>
      <w:proofErr w:type="gramStart"/>
      <w:r>
        <w:rPr>
          <w:rFonts w:ascii="Arial" w:eastAsia="Arial" w:hAnsi="Arial" w:cs="Arial"/>
          <w:sz w:val="20"/>
          <w:szCs w:val="20"/>
        </w:rPr>
        <w:t>Novembro</w:t>
      </w:r>
      <w:proofErr w:type="gramEnd"/>
      <w:r>
        <w:rPr>
          <w:rFonts w:ascii="Arial" w:eastAsia="Arial" w:hAnsi="Arial" w:cs="Arial"/>
          <w:sz w:val="20"/>
          <w:szCs w:val="20"/>
        </w:rPr>
        <w:t xml:space="preserve"> de 2018.</w:t>
      </w:r>
    </w:p>
    <w:p w:rsidR="00186A14" w:rsidRDefault="00186A14">
      <w:pPr>
        <w:spacing w:before="120" w:after="120" w:line="276" w:lineRule="auto"/>
        <w:jc w:val="both"/>
        <w:rPr>
          <w:rFonts w:ascii="Arial" w:eastAsia="Arial" w:hAnsi="Arial" w:cs="Arial"/>
          <w:i/>
          <w:color w:val="FF0000"/>
          <w:sz w:val="20"/>
          <w:szCs w:val="20"/>
        </w:rPr>
      </w:pPr>
    </w:p>
    <w:p w:rsidR="00186A14" w:rsidRDefault="005A6ED7">
      <w:pPr>
        <w:numPr>
          <w:ilvl w:val="1"/>
          <w:numId w:val="9"/>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Em se tratando do regime empreitada por preço global ou empreitada integral a participação na licitação ou a assinatura do contrato implica a concordância do licitante ou contratado com a adequação de todos os projetos anexos ao edital, de modo que eventuais alegações de falhas ou omissões em qualquer das peças, orçamentos, plantas, especificações, memoriais e estudos técnicos preliminares dos projetos não poderão ultrapassar, no seu conjunto, a dez por cento do valor total do futuro contrato, nos termos do art. 13, II do Decreto n. 7.983/2013.</w:t>
      </w:r>
    </w:p>
    <w:p w:rsidR="00186A14" w:rsidRDefault="005A6ED7">
      <w:pPr>
        <w:numPr>
          <w:ilvl w:val="1"/>
          <w:numId w:val="9"/>
        </w:numPr>
        <w:spacing w:before="120" w:after="120" w:line="276" w:lineRule="auto"/>
        <w:ind w:left="425" w:firstLine="0"/>
        <w:jc w:val="both"/>
        <w:rPr>
          <w:rFonts w:ascii="Arial" w:eastAsia="Arial" w:hAnsi="Arial" w:cs="Arial"/>
          <w:i/>
          <w:sz w:val="20"/>
          <w:szCs w:val="20"/>
          <w:highlight w:val="white"/>
        </w:rPr>
      </w:pPr>
      <w:r>
        <w:rPr>
          <w:rFonts w:ascii="Arial" w:eastAsia="Arial" w:hAnsi="Arial" w:cs="Arial"/>
          <w:sz w:val="20"/>
          <w:szCs w:val="20"/>
        </w:rPr>
        <w:t>Após a assinatura do contrato, a contratada deverá participar de reunião inicial, devidamente registrada em Ata, para dar início à execução do serviço, com o esclarecimento das obrigações contratuais, em que estejam presentes os técnicos responsáveis pela elaboração do Projeto Básico, o gestor do contrato, o fiscal técnico do contrato, o fiscal administrativo do contrato, os técnicos da área requisitante, o preposto da empresa e os gerentes das áreas que executarão os serviços contratados.</w:t>
      </w:r>
    </w:p>
    <w:p w:rsidR="00186A14" w:rsidRDefault="005A6ED7">
      <w:pPr>
        <w:numPr>
          <w:ilvl w:val="1"/>
          <w:numId w:val="9"/>
        </w:numPr>
        <w:pBdr>
          <w:top w:val="nil"/>
          <w:left w:val="nil"/>
          <w:bottom w:val="nil"/>
          <w:right w:val="nil"/>
          <w:between w:val="nil"/>
        </w:pBdr>
        <w:jc w:val="both"/>
        <w:rPr>
          <w:rFonts w:ascii="Arial" w:eastAsia="Arial" w:hAnsi="Arial" w:cs="Arial"/>
          <w:i/>
          <w:sz w:val="20"/>
          <w:szCs w:val="20"/>
        </w:rPr>
      </w:pPr>
      <w:r>
        <w:rPr>
          <w:rFonts w:ascii="Arial" w:eastAsia="Arial" w:hAnsi="Arial" w:cs="Arial"/>
          <w:sz w:val="20"/>
          <w:szCs w:val="20"/>
        </w:rPr>
        <w:t>Comprovar, ao longo da vigência contratual, a regularidade fiscal das microempresas e/ou empresas de pequeno porte subcontratadas no decorrer da execução do contrato, quando se tratar da subcontratação prevista no artigo 48, II, da Lei Complementar n. 123, de 2006.</w:t>
      </w:r>
    </w:p>
    <w:p w:rsidR="00186A14" w:rsidRDefault="005A6ED7">
      <w:pPr>
        <w:numPr>
          <w:ilvl w:val="1"/>
          <w:numId w:val="9"/>
        </w:numPr>
        <w:spacing w:before="120" w:after="120" w:line="276" w:lineRule="auto"/>
        <w:jc w:val="both"/>
        <w:rPr>
          <w:rFonts w:ascii="Arial" w:eastAsia="Arial" w:hAnsi="Arial" w:cs="Arial"/>
          <w:i/>
          <w:sz w:val="20"/>
          <w:szCs w:val="20"/>
        </w:rPr>
      </w:pPr>
      <w:r>
        <w:rPr>
          <w:rFonts w:ascii="Arial" w:eastAsia="Arial" w:hAnsi="Arial" w:cs="Arial"/>
          <w:sz w:val="20"/>
          <w:szCs w:val="20"/>
        </w:rPr>
        <w:t>Substituir a empresa subcontratada, no prazo máximo de trinta dias, na hipótese de extinção da subcontratação, mantendo o percentual originalmente subcontratado até a sua execução total, notificando o órgão ou entidade contratante, sob pena de rescisão, sem prejuízo das sanções cabíveis, ou a demonstrar a inviabilidade da substituição, hipótese em que ficará responsável pela execução da parcela originalmente subcontratada.</w:t>
      </w:r>
    </w:p>
    <w:p w:rsidR="00186A14" w:rsidRDefault="005A6ED7">
      <w:pPr>
        <w:numPr>
          <w:ilvl w:val="1"/>
          <w:numId w:val="9"/>
        </w:numPr>
        <w:spacing w:before="120" w:after="120" w:line="276" w:lineRule="auto"/>
        <w:jc w:val="both"/>
        <w:rPr>
          <w:rFonts w:ascii="Arial" w:eastAsia="Arial" w:hAnsi="Arial" w:cs="Arial"/>
          <w:i/>
          <w:sz w:val="20"/>
          <w:szCs w:val="20"/>
        </w:rPr>
      </w:pPr>
      <w:r>
        <w:rPr>
          <w:rFonts w:ascii="Arial" w:eastAsia="Arial" w:hAnsi="Arial" w:cs="Arial"/>
          <w:sz w:val="20"/>
          <w:szCs w:val="20"/>
        </w:rPr>
        <w:t>Responsabilizar-se pela padronização, pela compatibilidade, pelo gerenciamento centralizado e pela qualidade da subcontratação.</w:t>
      </w:r>
    </w:p>
    <w:p w:rsidR="00186A14" w:rsidRDefault="005A6ED7">
      <w:pPr>
        <w:keepNext/>
        <w:keepLines/>
        <w:numPr>
          <w:ilvl w:val="0"/>
          <w:numId w:val="9"/>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DA SUBCONTRATAÇÃO</w:t>
      </w:r>
    </w:p>
    <w:p w:rsidR="00186A14" w:rsidRDefault="005A6ED7">
      <w:pPr>
        <w:numPr>
          <w:ilvl w:val="1"/>
          <w:numId w:val="7"/>
        </w:numPr>
        <w:pBdr>
          <w:top w:val="nil"/>
          <w:left w:val="nil"/>
          <w:bottom w:val="nil"/>
          <w:right w:val="nil"/>
          <w:between w:val="nil"/>
        </w:pBdr>
        <w:spacing w:before="120" w:line="276" w:lineRule="auto"/>
        <w:ind w:left="425" w:firstLine="0"/>
        <w:jc w:val="both"/>
        <w:rPr>
          <w:rFonts w:ascii="Arial" w:eastAsia="Arial" w:hAnsi="Arial" w:cs="Arial"/>
          <w:i/>
          <w:sz w:val="20"/>
          <w:szCs w:val="20"/>
        </w:rPr>
      </w:pPr>
      <w:r>
        <w:rPr>
          <w:rFonts w:ascii="Arial" w:eastAsia="Arial" w:hAnsi="Arial" w:cs="Arial"/>
          <w:sz w:val="20"/>
          <w:szCs w:val="20"/>
        </w:rPr>
        <w:t>É permitida a subcontratação parcial do objeto, até o limite de 20%(vinte por cento) do valor total do contrato, nas seguintes condições:</w:t>
      </w:r>
    </w:p>
    <w:p w:rsidR="00186A14" w:rsidRDefault="005A6ED7">
      <w:pPr>
        <w:numPr>
          <w:ilvl w:val="2"/>
          <w:numId w:val="9"/>
        </w:numPr>
        <w:pBdr>
          <w:top w:val="nil"/>
          <w:left w:val="nil"/>
          <w:bottom w:val="nil"/>
          <w:right w:val="nil"/>
          <w:between w:val="nil"/>
        </w:pBdr>
        <w:spacing w:after="120" w:line="276" w:lineRule="auto"/>
        <w:ind w:left="1134" w:firstLine="0"/>
        <w:jc w:val="both"/>
        <w:rPr>
          <w:rFonts w:ascii="Arial" w:eastAsia="Arial" w:hAnsi="Arial" w:cs="Arial"/>
          <w:i/>
          <w:sz w:val="20"/>
          <w:szCs w:val="20"/>
        </w:rPr>
      </w:pPr>
      <w:r>
        <w:rPr>
          <w:rFonts w:ascii="Arial" w:eastAsia="Arial" w:hAnsi="Arial" w:cs="Arial"/>
          <w:sz w:val="20"/>
          <w:szCs w:val="20"/>
        </w:rPr>
        <w:t>É vedada a sub-rogação completa ou da parcela principal da obrigação.</w:t>
      </w:r>
    </w:p>
    <w:p w:rsidR="00186A14" w:rsidRDefault="005A6ED7">
      <w:pPr>
        <w:numPr>
          <w:ilvl w:val="2"/>
          <w:numId w:val="9"/>
        </w:numPr>
        <w:spacing w:before="120" w:after="120" w:line="276" w:lineRule="auto"/>
        <w:ind w:left="1134" w:firstLine="0"/>
        <w:jc w:val="both"/>
        <w:rPr>
          <w:rFonts w:ascii="Arial" w:eastAsia="Arial" w:hAnsi="Arial" w:cs="Arial"/>
          <w:i/>
          <w:sz w:val="20"/>
          <w:szCs w:val="20"/>
        </w:rPr>
      </w:pPr>
      <w:r>
        <w:rPr>
          <w:rFonts w:ascii="Arial" w:eastAsia="Arial" w:hAnsi="Arial" w:cs="Arial"/>
          <w:sz w:val="20"/>
          <w:szCs w:val="20"/>
        </w:rPr>
        <w:t xml:space="preserve"> É permitida a subcontratação</w:t>
      </w:r>
      <w:r>
        <w:rPr>
          <w:rFonts w:ascii="Arial" w:eastAsia="Arial" w:hAnsi="Arial" w:cs="Arial"/>
          <w:b/>
          <w:sz w:val="20"/>
          <w:szCs w:val="20"/>
          <w:u w:val="single"/>
        </w:rPr>
        <w:t xml:space="preserve"> parcial do objeto</w:t>
      </w:r>
      <w:r>
        <w:rPr>
          <w:rFonts w:ascii="Arial" w:eastAsia="Arial" w:hAnsi="Arial" w:cs="Arial"/>
          <w:sz w:val="20"/>
          <w:szCs w:val="20"/>
        </w:rPr>
        <w:t xml:space="preserve">, até o limite de 20% (Vinte por cento) do valor total do contrato. </w:t>
      </w:r>
    </w:p>
    <w:p w:rsidR="00186A14" w:rsidRDefault="005A6ED7">
      <w:pPr>
        <w:numPr>
          <w:ilvl w:val="1"/>
          <w:numId w:val="9"/>
        </w:numPr>
        <w:spacing w:before="120" w:after="120"/>
        <w:ind w:left="425" w:firstLine="0"/>
        <w:jc w:val="both"/>
        <w:rPr>
          <w:rFonts w:ascii="Arial" w:eastAsia="Arial" w:hAnsi="Arial" w:cs="Arial"/>
          <w:i/>
          <w:sz w:val="20"/>
          <w:szCs w:val="20"/>
        </w:rPr>
      </w:pPr>
      <w:r>
        <w:rPr>
          <w:rFonts w:ascii="Arial" w:eastAsia="Arial" w:hAnsi="Arial" w:cs="Arial"/>
          <w:sz w:val="20"/>
          <w:szCs w:val="20"/>
        </w:rPr>
        <w:t xml:space="preserve">A subcontratação depende de autorização prévia da Contratante, a quem incumbe avaliar se a subcontratada cumpre os requisitos de qualificação técnica necessários para a execução do objeto. </w:t>
      </w:r>
    </w:p>
    <w:p w:rsidR="00186A14" w:rsidRDefault="005A6ED7">
      <w:pPr>
        <w:numPr>
          <w:ilvl w:val="2"/>
          <w:numId w:val="9"/>
        </w:numPr>
        <w:spacing w:before="120" w:after="120"/>
        <w:jc w:val="both"/>
        <w:rPr>
          <w:rFonts w:ascii="Arial" w:eastAsia="Arial" w:hAnsi="Arial" w:cs="Arial"/>
          <w:i/>
          <w:sz w:val="20"/>
          <w:szCs w:val="20"/>
        </w:rPr>
      </w:pPr>
      <w:r>
        <w:rPr>
          <w:rFonts w:ascii="Arial" w:eastAsia="Arial" w:hAnsi="Arial" w:cs="Arial"/>
          <w:sz w:val="20"/>
          <w:szCs w:val="20"/>
        </w:rPr>
        <w:t>No caso de obras, somente será autorizada a subcontratação de empresas que expressamente aceitem o cumprimento das cláusulas assecuratórias de direitos trabalhistas, previstas na Instrução Normativa SEGES/MP nº 6, de 6 de julho de 2018.</w:t>
      </w:r>
    </w:p>
    <w:p w:rsidR="00186A14" w:rsidRDefault="005A6ED7">
      <w:pPr>
        <w:numPr>
          <w:ilvl w:val="1"/>
          <w:numId w:val="9"/>
        </w:numPr>
        <w:spacing w:before="120" w:after="120"/>
        <w:ind w:left="425" w:firstLine="0"/>
        <w:jc w:val="both"/>
        <w:rPr>
          <w:rFonts w:ascii="Arial" w:eastAsia="Arial" w:hAnsi="Arial" w:cs="Arial"/>
          <w:i/>
          <w:sz w:val="20"/>
          <w:szCs w:val="20"/>
        </w:rPr>
      </w:pPr>
      <w:r>
        <w:rPr>
          <w:rFonts w:ascii="Arial" w:eastAsia="Arial" w:hAnsi="Arial" w:cs="Arial"/>
          <w:sz w:val="20"/>
          <w:szCs w:val="20"/>
        </w:rPr>
        <w:t>Em qualquer hipótese de subcontratação, permanece a responsabilidade integral da Contratada pela perfeita execução contratual, cabendo-lhe realizar a supervisão e coordenação das atividades da subcontratada, bem como responder perante a Contratante pelo rigoroso cumprimento das obrigações contratuais correspondentes ao objeto da subcontratação.</w:t>
      </w:r>
    </w:p>
    <w:p w:rsidR="00186A14" w:rsidRDefault="00186A14">
      <w:pPr>
        <w:spacing w:before="120" w:after="120"/>
        <w:ind w:left="1728"/>
        <w:jc w:val="both"/>
        <w:rPr>
          <w:rFonts w:ascii="Arial" w:eastAsia="Arial" w:hAnsi="Arial" w:cs="Arial"/>
          <w:i/>
          <w:color w:val="FF0000"/>
          <w:sz w:val="20"/>
          <w:szCs w:val="20"/>
        </w:rPr>
      </w:pPr>
    </w:p>
    <w:p w:rsidR="00186A14" w:rsidRDefault="005A6ED7">
      <w:pPr>
        <w:keepNext/>
        <w:keepLines/>
        <w:numPr>
          <w:ilvl w:val="0"/>
          <w:numId w:val="9"/>
        </w:numPr>
        <w:pBdr>
          <w:top w:val="nil"/>
          <w:left w:val="nil"/>
          <w:bottom w:val="nil"/>
          <w:right w:val="nil"/>
          <w:between w:val="nil"/>
        </w:pBdr>
        <w:tabs>
          <w:tab w:val="left" w:pos="0"/>
        </w:tabs>
        <w:spacing w:before="480" w:after="120"/>
        <w:jc w:val="both"/>
        <w:rPr>
          <w:rFonts w:ascii="Arial" w:eastAsia="Arial" w:hAnsi="Arial" w:cs="Arial"/>
          <w:b/>
          <w:color w:val="000000"/>
          <w:sz w:val="20"/>
          <w:szCs w:val="20"/>
        </w:rPr>
      </w:pPr>
      <w:r>
        <w:rPr>
          <w:rFonts w:ascii="Arial" w:eastAsia="Arial" w:hAnsi="Arial" w:cs="Arial"/>
          <w:b/>
          <w:color w:val="000000"/>
          <w:sz w:val="20"/>
          <w:szCs w:val="20"/>
        </w:rPr>
        <w:lastRenderedPageBreak/>
        <w:t>ALTERAÇÃO SUBJETIVA</w:t>
      </w:r>
    </w:p>
    <w:p w:rsidR="00186A14" w:rsidRDefault="005A6ED7">
      <w:pPr>
        <w:keepNext/>
        <w:keepLines/>
        <w:numPr>
          <w:ilvl w:val="1"/>
          <w:numId w:val="9"/>
        </w:numPr>
        <w:pBdr>
          <w:top w:val="nil"/>
          <w:left w:val="nil"/>
          <w:bottom w:val="nil"/>
          <w:right w:val="nil"/>
          <w:between w:val="nil"/>
        </w:pBdr>
        <w:spacing w:before="480"/>
        <w:jc w:val="both"/>
        <w:rPr>
          <w:rFonts w:ascii="Arial" w:eastAsia="Arial" w:hAnsi="Arial" w:cs="Arial"/>
          <w:sz w:val="20"/>
          <w:szCs w:val="20"/>
        </w:rPr>
      </w:pPr>
      <w:r>
        <w:rPr>
          <w:rFonts w:ascii="Arial" w:eastAsia="Arial" w:hAnsi="Arial" w:cs="Arial"/>
          <w:color w:val="000000"/>
          <w:sz w:val="20"/>
          <w:szCs w:val="20"/>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rsidR="00186A14" w:rsidRDefault="005A6ED7">
      <w:pPr>
        <w:keepNext/>
        <w:keepLines/>
        <w:numPr>
          <w:ilvl w:val="0"/>
          <w:numId w:val="9"/>
        </w:numPr>
        <w:pBdr>
          <w:top w:val="nil"/>
          <w:left w:val="nil"/>
          <w:bottom w:val="nil"/>
          <w:right w:val="nil"/>
          <w:between w:val="nil"/>
        </w:pBdr>
        <w:spacing w:before="480"/>
        <w:jc w:val="both"/>
        <w:rPr>
          <w:rFonts w:ascii="Arial" w:eastAsia="Arial" w:hAnsi="Arial" w:cs="Arial"/>
          <w:color w:val="000000"/>
          <w:sz w:val="20"/>
          <w:szCs w:val="20"/>
        </w:rPr>
      </w:pPr>
      <w:r>
        <w:rPr>
          <w:rFonts w:ascii="Arial" w:eastAsia="Arial" w:hAnsi="Arial" w:cs="Arial"/>
          <w:b/>
          <w:color w:val="000000"/>
          <w:sz w:val="20"/>
          <w:szCs w:val="20"/>
        </w:rPr>
        <w:t>CONTROLE E FISCALIZAÇÃO DA EXECUÇÃO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O acompanhamento e a fiscalização da execução do contrato consistem na verificação da conformidade da prestação dos serviços, dos materiais, técnicas e equipamentos empregados, de forma a assegurar o perfeito cumprimento do ajuste, que serão exercidos por um ou mais representantes da Contratante, especialmente designados, na forma dos </w:t>
      </w:r>
      <w:proofErr w:type="spellStart"/>
      <w:r>
        <w:rPr>
          <w:rFonts w:ascii="Arial" w:eastAsia="Arial" w:hAnsi="Arial" w:cs="Arial"/>
          <w:sz w:val="20"/>
          <w:szCs w:val="20"/>
        </w:rPr>
        <w:t>arts</w:t>
      </w:r>
      <w:proofErr w:type="spellEnd"/>
      <w:r>
        <w:rPr>
          <w:rFonts w:ascii="Arial" w:eastAsia="Arial" w:hAnsi="Arial" w:cs="Arial"/>
          <w:sz w:val="20"/>
          <w:szCs w:val="20"/>
        </w:rPr>
        <w:t>. 67 e 73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representante da Contratante deverá ter a qualificação necessária para o acompanhamento e controle da execução dos serviços e do contrato.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A verificação da adequação da prestação do serviço deverá ser realizada com base nos critérios previstos neste Projeto Básico.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A fiscalização do contrato, ao verificar que houve </w:t>
      </w:r>
      <w:proofErr w:type="spellStart"/>
      <w:r>
        <w:rPr>
          <w:rFonts w:ascii="Arial" w:eastAsia="Arial" w:hAnsi="Arial" w:cs="Arial"/>
          <w:sz w:val="20"/>
          <w:szCs w:val="20"/>
        </w:rPr>
        <w:t>subdimensionamento</w:t>
      </w:r>
      <w:proofErr w:type="spellEnd"/>
      <w:r>
        <w:rPr>
          <w:rFonts w:ascii="Arial" w:eastAsia="Arial" w:hAnsi="Arial" w:cs="Arial"/>
          <w:sz w:val="20"/>
          <w:szCs w:val="20"/>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A conformidade do material/técnica/equipamento a ser utilizado na execução dos serviços deverá ser verificada juntamente com o documento da Contratada que contenha a relação detalhada dos mesmos, de acordo com o estabelecido neste Projeto Básico, informando as respectivas quantidades e especificações técnicas, tais como: marca, qualidade e forma de uso.</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representante da Contratante deverá promover o registro das ocorrências verificadas, adotando as providências necessárias ao fiel cumprimento das cláusulas contratuais, conforme o disposto nos §§ 1º e 2º do art. 67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O descumprimento total ou parcial das obrigações e responsabilidades assumidas pela Contratada, sobretudo quanto às obrigações e encargos sociais e trabalhistas, ensejará a aplicação de sanções administrativas, previstas neste Projeto Básico e na legislação vigente, podendo culminar em rescisão contratual, conforme disposto nos artigos 77 e 87 da Lei nº 8.666, de 1993.</w:t>
      </w:r>
    </w:p>
    <w:p w:rsidR="00186A14" w:rsidRDefault="005A6ED7">
      <w:pPr>
        <w:numPr>
          <w:ilvl w:val="1"/>
          <w:numId w:val="5"/>
        </w:numPr>
        <w:spacing w:before="120" w:after="120"/>
        <w:ind w:left="420" w:firstLine="0"/>
        <w:jc w:val="both"/>
        <w:rPr>
          <w:rFonts w:ascii="Arial" w:eastAsia="Arial" w:hAnsi="Arial" w:cs="Arial"/>
          <w:sz w:val="20"/>
          <w:szCs w:val="20"/>
        </w:rPr>
      </w:pPr>
      <w:r>
        <w:rPr>
          <w:rFonts w:ascii="Arial" w:eastAsia="Arial" w:hAnsi="Arial" w:cs="Arial"/>
          <w:sz w:val="20"/>
          <w:szCs w:val="20"/>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trabalho, não comprometa o desempenho de todas as ações relacionadas à Gestão do Contrato. </w:t>
      </w:r>
    </w:p>
    <w:p w:rsidR="00186A14" w:rsidRDefault="005A6ED7">
      <w:pPr>
        <w:numPr>
          <w:ilvl w:val="1"/>
          <w:numId w:val="5"/>
        </w:numPr>
        <w:spacing w:before="120" w:after="120"/>
        <w:ind w:left="284" w:firstLine="0"/>
        <w:jc w:val="both"/>
        <w:rPr>
          <w:rFonts w:ascii="Arial" w:eastAsia="Arial" w:hAnsi="Arial" w:cs="Arial"/>
          <w:sz w:val="20"/>
          <w:szCs w:val="20"/>
        </w:rPr>
      </w:pPr>
      <w:r>
        <w:rPr>
          <w:rFonts w:ascii="Arial" w:eastAsia="Arial" w:hAnsi="Arial" w:cs="Arial"/>
          <w:sz w:val="20"/>
          <w:szCs w:val="20"/>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 xml:space="preserve">O fiscal técnico deverá apresentar ao preposto da CONTRATADA a avaliação da execução do objeto ou, se for o caso, a avaliação de desempenho e qualidade da prestação dos serviços realizada.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Em hipótese alguma, será admitido que a própria CONTRATADA materialize a avaliação de desempenho e qualidade da prestação dos serviços realizada. </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w:t>
      </w:r>
    </w:p>
    <w:p w:rsidR="00186A14" w:rsidRDefault="005A6ED7">
      <w:pPr>
        <w:numPr>
          <w:ilvl w:val="1"/>
          <w:numId w:val="5"/>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O fiscal técnico poderá realizar avaliação diária, semanal ou mensal, desde que o período escolhido seja suficiente para avaliar ou, se for o caso, aferir o desempenho e qualidade da prestação dos serviços.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No caso de obras, cumpre, ainda, à fiscalização:</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solicitar</w:t>
      </w:r>
      <w:proofErr w:type="gramEnd"/>
      <w:r>
        <w:rPr>
          <w:rFonts w:ascii="Arial" w:eastAsia="Arial" w:hAnsi="Arial" w:cs="Arial"/>
          <w:sz w:val="20"/>
          <w:szCs w:val="20"/>
        </w:rPr>
        <w:t xml:space="preserve">, mensalmente, por amostragem, que a contratada apresente os documentos comprobatórios das obrigações trabalhistas e previdenciárias dos empregados alocados na execução da obra, em especial, quanto: </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ao</w:t>
      </w:r>
      <w:proofErr w:type="gramEnd"/>
      <w:r>
        <w:rPr>
          <w:rFonts w:ascii="Arial" w:eastAsia="Arial" w:hAnsi="Arial" w:cs="Arial"/>
          <w:sz w:val="20"/>
          <w:szCs w:val="20"/>
        </w:rPr>
        <w:t xml:space="preserve"> pagamento de salários, adicionais, horas extras, repouso semanal remunerado e décimo terceiro salário;</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à</w:t>
      </w:r>
      <w:proofErr w:type="gramEnd"/>
      <w:r>
        <w:rPr>
          <w:rFonts w:ascii="Arial" w:eastAsia="Arial" w:hAnsi="Arial" w:cs="Arial"/>
          <w:sz w:val="20"/>
          <w:szCs w:val="20"/>
        </w:rPr>
        <w:t xml:space="preserve"> concessão de férias remuneradas e pagamento do respectivo adicional;</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à</w:t>
      </w:r>
      <w:proofErr w:type="gramEnd"/>
      <w:r>
        <w:rPr>
          <w:rFonts w:ascii="Arial" w:eastAsia="Arial" w:hAnsi="Arial" w:cs="Arial"/>
          <w:sz w:val="20"/>
          <w:szCs w:val="20"/>
        </w:rPr>
        <w:t xml:space="preserve"> concessão do auxílio-transporte, auxílio-alimentação e auxílio-saúde, quando for devido;</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aos</w:t>
      </w:r>
      <w:proofErr w:type="gramEnd"/>
      <w:r>
        <w:rPr>
          <w:rFonts w:ascii="Arial" w:eastAsia="Arial" w:hAnsi="Arial" w:cs="Arial"/>
          <w:sz w:val="20"/>
          <w:szCs w:val="20"/>
        </w:rPr>
        <w:t xml:space="preserve"> depósitos do FGTS; e</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ao</w:t>
      </w:r>
      <w:proofErr w:type="gramEnd"/>
      <w:r>
        <w:rPr>
          <w:rFonts w:ascii="Arial" w:eastAsia="Arial" w:hAnsi="Arial" w:cs="Arial"/>
          <w:sz w:val="20"/>
          <w:szCs w:val="20"/>
        </w:rPr>
        <w:t xml:space="preserve"> pagamento de obrigações trabalhistas e previdenciárias dos empregados dispensados até a data da extinção do contrato.</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solicitar</w:t>
      </w:r>
      <w:proofErr w:type="gramEnd"/>
      <w:r>
        <w:rPr>
          <w:rFonts w:ascii="Arial" w:eastAsia="Arial" w:hAnsi="Arial" w:cs="Arial"/>
          <w:sz w:val="20"/>
          <w:szCs w:val="20"/>
        </w:rPr>
        <w:t>, por amostragem, aos empregados da contratada, que verifiquem se as contribuições previdenciárias e do FGTS estão ou não sendo recolhidas em seus nomes, por meio da apresentação de extratos, de forma que todos os empregados tenham tido seus extratos avaliados ao final de um ano da contratação, o que não impedirá que a análise de extratos possa ser realizada mais de uma vez em relação a um mesmo empregado;</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oficiar</w:t>
      </w:r>
      <w:proofErr w:type="gramEnd"/>
      <w:r>
        <w:rPr>
          <w:rFonts w:ascii="Arial" w:eastAsia="Arial" w:hAnsi="Arial" w:cs="Arial"/>
          <w:sz w:val="20"/>
          <w:szCs w:val="20"/>
        </w:rPr>
        <w:t xml:space="preserve"> os órgãos responsáveis pela fiscalização em caso de indício de irregularidade no cumprimento das obrigações trabalhistas, previdenciárias e para com o FGTS;</w:t>
      </w:r>
    </w:p>
    <w:p w:rsidR="00186A14" w:rsidRDefault="005A6ED7">
      <w:pPr>
        <w:numPr>
          <w:ilvl w:val="2"/>
          <w:numId w:val="5"/>
        </w:numPr>
        <w:spacing w:before="120" w:after="120"/>
        <w:jc w:val="both"/>
        <w:rPr>
          <w:rFonts w:ascii="Arial" w:eastAsia="Arial" w:hAnsi="Arial" w:cs="Arial"/>
          <w:sz w:val="20"/>
          <w:szCs w:val="20"/>
        </w:rPr>
      </w:pPr>
      <w:proofErr w:type="gramStart"/>
      <w:r>
        <w:rPr>
          <w:rFonts w:ascii="Arial" w:eastAsia="Arial" w:hAnsi="Arial" w:cs="Arial"/>
          <w:sz w:val="20"/>
          <w:szCs w:val="20"/>
        </w:rPr>
        <w:t>somente</w:t>
      </w:r>
      <w:proofErr w:type="gramEnd"/>
      <w:r>
        <w:rPr>
          <w:rFonts w:ascii="Arial" w:eastAsia="Arial" w:hAnsi="Arial" w:cs="Arial"/>
          <w:sz w:val="20"/>
          <w:szCs w:val="20"/>
        </w:rPr>
        <w:t xml:space="preserve"> autorizar a subcontratação se as obrigações estabelecidas na Instrução Normativa SEGES/MP nº 6, de 6 de julho de 2018 forem expressamente aceitas pela subcontratada.</w:t>
      </w:r>
    </w:p>
    <w:p w:rsidR="00186A14" w:rsidRDefault="005A6ED7">
      <w:pPr>
        <w:numPr>
          <w:ilvl w:val="1"/>
          <w:numId w:val="5"/>
        </w:numPr>
        <w:pBdr>
          <w:top w:val="nil"/>
          <w:left w:val="nil"/>
          <w:bottom w:val="nil"/>
          <w:right w:val="nil"/>
          <w:between w:val="nil"/>
        </w:pBd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lastRenderedPageBreak/>
        <w:t>As disposições previstas nesta cláusula não excluem o disposto no Anexo VIII da Instrução Normativa SEGES/MP nº 05, de 2017, aplicável no que for pertinente à contratação.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186A14" w:rsidRDefault="005A6ED7">
      <w:pPr>
        <w:keepNext/>
        <w:keepLines/>
        <w:numPr>
          <w:ilvl w:val="0"/>
          <w:numId w:val="5"/>
        </w:numPr>
        <w:pBdr>
          <w:top w:val="nil"/>
          <w:left w:val="nil"/>
          <w:bottom w:val="nil"/>
          <w:right w:val="nil"/>
          <w:between w:val="nil"/>
        </w:pBdr>
        <w:spacing w:before="480"/>
        <w:ind w:hanging="360"/>
        <w:jc w:val="both"/>
        <w:rPr>
          <w:rFonts w:ascii="Arial" w:eastAsia="Arial" w:hAnsi="Arial" w:cs="Arial"/>
          <w:b/>
          <w:color w:val="000000"/>
          <w:sz w:val="20"/>
          <w:szCs w:val="20"/>
        </w:rPr>
      </w:pPr>
      <w:r>
        <w:rPr>
          <w:rFonts w:ascii="Arial" w:eastAsia="Arial" w:hAnsi="Arial" w:cs="Arial"/>
          <w:b/>
          <w:color w:val="000000"/>
          <w:sz w:val="20"/>
          <w:szCs w:val="20"/>
        </w:rPr>
        <w:t xml:space="preserve">DO RECEBIMENTO E ACEITAÇÃO DO OBJETO  </w:t>
      </w:r>
    </w:p>
    <w:p w:rsidR="00186A14" w:rsidRDefault="00186A14">
      <w:pPr>
        <w:tabs>
          <w:tab w:val="left" w:pos="0"/>
        </w:tabs>
        <w:spacing w:after="120"/>
        <w:ind w:left="360"/>
        <w:jc w:val="both"/>
        <w:rPr>
          <w:rFonts w:ascii="Arial" w:eastAsia="Arial" w:hAnsi="Arial" w:cs="Arial"/>
          <w:b/>
          <w:sz w:val="20"/>
          <w:szCs w:val="20"/>
        </w:rPr>
      </w:pP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 emissão da Nota Fiscal/Fatura deve ser precedida do recebimento definitivo dos serviços, nos termos abaixo. </w:t>
      </w:r>
    </w:p>
    <w:p w:rsidR="00186A14" w:rsidRDefault="005A6ED7">
      <w:pPr>
        <w:numPr>
          <w:ilvl w:val="2"/>
          <w:numId w:val="5"/>
        </w:numPr>
        <w:pBdr>
          <w:top w:val="nil"/>
          <w:left w:val="nil"/>
          <w:bottom w:val="nil"/>
          <w:right w:val="nil"/>
          <w:between w:val="nil"/>
        </w:pBdr>
        <w:spacing w:before="120"/>
        <w:jc w:val="both"/>
        <w:rPr>
          <w:rFonts w:ascii="Arial" w:eastAsia="Arial" w:hAnsi="Arial" w:cs="Arial"/>
          <w:color w:val="000000"/>
          <w:sz w:val="20"/>
          <w:szCs w:val="20"/>
        </w:rPr>
      </w:pPr>
      <w:r>
        <w:rPr>
          <w:rFonts w:ascii="Arial" w:eastAsia="Arial" w:hAnsi="Arial" w:cs="Arial"/>
          <w:color w:val="000000"/>
          <w:sz w:val="20"/>
          <w:szCs w:val="20"/>
        </w:rPr>
        <w:t>Ao final de cada etapa da execução contratual, conforme previsto no Cronograma Físico-Financeiro, a Contratada apresentará a medição prévia dos serviços executados no período, através de planilha e memória de cálculo detalhada.</w:t>
      </w:r>
    </w:p>
    <w:p w:rsidR="00186A14" w:rsidRDefault="005A6ED7">
      <w:pPr>
        <w:numPr>
          <w:ilvl w:val="2"/>
          <w:numId w:val="5"/>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Uma etapa será considerada efetivamente concluída quando os serviços previstos para aquela etapa, no Cronograma Físico-Financeiro, estiverem executados em sua totalidade.</w:t>
      </w:r>
    </w:p>
    <w:p w:rsidR="00186A14" w:rsidRDefault="005A6ED7">
      <w:pPr>
        <w:numPr>
          <w:ilvl w:val="2"/>
          <w:numId w:val="5"/>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A Contratada também apresentará, a cada medição, os documentos comprobatórios da procedência legal dos produtos e subprodutos florestais utilizados naquela etapa da execução contratual, quando for o caso.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provisório será realizado pelo fiscal técnico e administrativo após a entrega da documentação acima, da seguinte forma:</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A contratante realizará inspeção minuciosa de todos os serviços executados, por meio de profissionais técnicos competentes, acompanhados dos profissionais encarregados pelo serviço, com a finalidade de verificar a adequação dos serviços e constatar e relacionar os arremates, retoques e revisões finais que se fizerem necessários.</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 xml:space="preserve">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 pendências que possam vir a ser apontadas no Recebimento Provisório. </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O recebimento provisório também ficará sujeito, quando cabível, à conclusão de todos os testes de campo e à entrega dos Manuais e Instruções exigíveis.</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lastRenderedPageBreak/>
        <w:t>A aprovação da medição prévia apresentada pela Contratada não a exime de qualquer das responsabilidades contratuais, nem implica aceitação definitiva dos serviços executados.</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No prazo de até 15 dias corridos a partir do recebimento dos documentos da CONTRATADA, cada fiscal ou a equipe de fiscalização deverá elaborar Relatório Circunstanciado em consonância com suas atribuições, e encaminhá-lo ao gestor do contrato. </w:t>
      </w:r>
    </w:p>
    <w:p w:rsidR="00186A14" w:rsidRDefault="005A6ED7">
      <w:pPr>
        <w:numPr>
          <w:ilvl w:val="3"/>
          <w:numId w:val="5"/>
        </w:numPr>
        <w:spacing w:before="120" w:after="120"/>
        <w:ind w:hanging="647"/>
        <w:jc w:val="both"/>
        <w:rPr>
          <w:rFonts w:ascii="Arial" w:eastAsia="Arial" w:hAnsi="Arial" w:cs="Arial"/>
          <w:sz w:val="20"/>
          <w:szCs w:val="20"/>
        </w:rPr>
      </w:pPr>
      <w:proofErr w:type="gramStart"/>
      <w:r>
        <w:rPr>
          <w:rFonts w:ascii="Arial" w:eastAsia="Arial" w:hAnsi="Arial" w:cs="Arial"/>
          <w:sz w:val="20"/>
          <w:szCs w:val="20"/>
        </w:rPr>
        <w:t>quando</w:t>
      </w:r>
      <w:proofErr w:type="gramEnd"/>
      <w:r>
        <w:rPr>
          <w:rFonts w:ascii="Arial" w:eastAsia="Arial" w:hAnsi="Arial" w:cs="Arial"/>
          <w:sz w:val="20"/>
          <w:szCs w:val="20"/>
        </w:rPr>
        <w:t xml:space="preserve"> a fiscalização for exercida por um único servidor, o relatório circunstanciado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rsidR="00186A14" w:rsidRDefault="005A6ED7">
      <w:pPr>
        <w:numPr>
          <w:ilvl w:val="3"/>
          <w:numId w:val="5"/>
        </w:numPr>
        <w:spacing w:before="120" w:after="120"/>
        <w:ind w:hanging="647"/>
        <w:jc w:val="both"/>
        <w:rPr>
          <w:rFonts w:ascii="Arial" w:eastAsia="Arial" w:hAnsi="Arial" w:cs="Arial"/>
          <w:sz w:val="20"/>
          <w:szCs w:val="20"/>
        </w:rPr>
      </w:pPr>
      <w:r>
        <w:rPr>
          <w:rFonts w:ascii="Arial" w:eastAsia="Arial" w:hAnsi="Arial" w:cs="Arial"/>
          <w:sz w:val="20"/>
          <w:szCs w:val="20"/>
        </w:rPr>
        <w:t xml:space="preserve">Será considerado como ocorrido o recebimento provisório com a entrega do relatório circunstanciado ou, em havendo mais de um a ser feito, com a entrega do último. </w:t>
      </w:r>
    </w:p>
    <w:p w:rsidR="00186A14" w:rsidRDefault="005A6ED7">
      <w:pPr>
        <w:numPr>
          <w:ilvl w:val="4"/>
          <w:numId w:val="5"/>
        </w:numPr>
        <w:pBdr>
          <w:top w:val="nil"/>
          <w:left w:val="nil"/>
          <w:bottom w:val="nil"/>
          <w:right w:val="nil"/>
          <w:between w:val="nil"/>
        </w:pBdr>
        <w:spacing w:before="120" w:after="120"/>
        <w:ind w:hanging="791"/>
        <w:jc w:val="both"/>
        <w:rPr>
          <w:rFonts w:ascii="Arial" w:eastAsia="Arial" w:hAnsi="Arial" w:cs="Arial"/>
          <w:color w:val="000000"/>
          <w:sz w:val="20"/>
          <w:szCs w:val="20"/>
        </w:rPr>
      </w:pPr>
      <w:r>
        <w:rPr>
          <w:rFonts w:ascii="Arial" w:eastAsia="Arial" w:hAnsi="Arial" w:cs="Arial"/>
          <w:color w:val="000000"/>
          <w:sz w:val="20"/>
          <w:szCs w:val="20"/>
        </w:rPr>
        <w:t>Na hipótese de a verificação a que se refere o parágrafo anterior não ser procedida tempestivamente, reputar-se-á como realizada, consumando-se o recebimento provisório no dia do esgotamento do prazo.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No prazo de até 10 (dez) dias corridos a partir do recebimento provisório dos serviços, o Gestor do Contrato deverá providenciar o recebimento definitivo, ato que concretiza o ateste da execução dos serviços, obedecendo as seguintes diretrizes: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Emitir Termo Circunstanciado para efeito de recebimento definitivo dos serviços prestados, com base nos relatórios e documentações apresentadas; e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Comunicar a empresa para que emita a Nota Fiscal ou Fatura, com o valor exato dimensionado pela fiscalização.</w:t>
      </w:r>
    </w:p>
    <w:p w:rsidR="00186A14" w:rsidRDefault="00186A14">
      <w:pPr>
        <w:rPr>
          <w:rFonts w:ascii="Arial" w:eastAsia="Arial" w:hAnsi="Arial" w:cs="Arial"/>
          <w:sz w:val="20"/>
          <w:szCs w:val="20"/>
        </w:rPr>
      </w:pP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provisório ou definitivo do objeto não exclui a responsabilidade da Contratada pelos prejuízos resultantes da incorreta execução do contrato, das garantias concedidas e das responsabilidades assumidas em contrato e por força das disposições legais em vigor (Lei n° 10.406, de 2002).</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Os serviços poderão ser rejeitados, no todo ou em parte, quando em desacordo com as especificações constantes neste Projeto Básico e na proposta, devendo ser corrigidos/refeitos/substituídos no prazo fixado pelo fiscal do contrato, às custas da Contratada, sem prejuízo da aplicação de penalidades.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b/>
          <w:sz w:val="20"/>
          <w:szCs w:val="20"/>
        </w:rPr>
        <w:t>Os prazos para o recebimento definitivo e provisório, expostos neste tópico, se aplicam às disposições previstas na IN nº 05/2017, sendo que os prazos para o recebimento da obra, como um todo estão dispostos no item nº 7 neste Projeto Básico.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lastRenderedPageBreak/>
        <w:t>Nos termos do Art. 73 de Lei nº 8.666/1993, em se tratando de obras e serviços, o objeto será recebido:</w:t>
      </w:r>
    </w:p>
    <w:p w:rsidR="00186A14" w:rsidRDefault="005A6ED7">
      <w:pPr>
        <w:numPr>
          <w:ilvl w:val="2"/>
          <w:numId w:val="5"/>
        </w:numPr>
        <w:spacing w:before="240" w:after="240"/>
        <w:jc w:val="both"/>
        <w:rPr>
          <w:rFonts w:ascii="Arial" w:eastAsia="Arial" w:hAnsi="Arial" w:cs="Arial"/>
          <w:sz w:val="20"/>
          <w:szCs w:val="20"/>
        </w:rPr>
      </w:pPr>
      <w:r>
        <w:rPr>
          <w:rFonts w:ascii="Arial" w:eastAsia="Arial" w:hAnsi="Arial" w:cs="Arial"/>
          <w:sz w:val="14"/>
          <w:szCs w:val="14"/>
        </w:rPr>
        <w:t xml:space="preserve"> </w:t>
      </w:r>
      <w:r>
        <w:rPr>
          <w:rFonts w:ascii="Arial" w:eastAsia="Arial" w:hAnsi="Arial" w:cs="Arial"/>
          <w:sz w:val="20"/>
          <w:szCs w:val="20"/>
        </w:rPr>
        <w:t>Provisoriamente, pelo responsável por seu acompanhamento e fiscalização, mediante termo circunstanciado, assinado pelas partes em até 15 (quinze) dias da comunicação escrita do contratado;</w:t>
      </w:r>
    </w:p>
    <w:p w:rsidR="00186A14" w:rsidRDefault="005A6ED7">
      <w:pPr>
        <w:numPr>
          <w:ilvl w:val="2"/>
          <w:numId w:val="5"/>
        </w:numPr>
        <w:spacing w:before="240" w:after="240"/>
        <w:jc w:val="both"/>
        <w:rPr>
          <w:rFonts w:ascii="Arial" w:eastAsia="Arial" w:hAnsi="Arial" w:cs="Arial"/>
          <w:sz w:val="20"/>
          <w:szCs w:val="20"/>
        </w:rPr>
      </w:pPr>
      <w:r>
        <w:rPr>
          <w:rFonts w:ascii="Arial" w:eastAsia="Arial" w:hAnsi="Arial" w:cs="Arial"/>
          <w:sz w:val="20"/>
          <w:szCs w:val="20"/>
        </w:rPr>
        <w:t>Definitivamente, por servidor ou comissão designada pela autoridade competente, mediante termo circunstanciado, assinado pelas partes, após o decurso do prazo de observação, ou vistoria que comprove a adequação do objeto aos termos contratuais, em até 90 (noventa) dias.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Quando as obras e/ou serviços contratados forem concluídos, caberá à CONTRATADA apresentar comunicação escrita informando o fato à FISCALIZAÇÃO da Contratante, a qual competirá, no prazo de até 15 (quinze) dias, a verificação dos serviços executados, para fins de recebimento provisório.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recebimento provisório ficará sujeito, quando cabível, à conclusão de todas as instalações, testes de campo, startups, comissionamentos, além da entrega de documentação exigida nos termos deste Projeto Básico.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 CONTRATANTE realizará inspeção minuciosa de todos os serviços e obras executadas, por meio de profissionais técnicos competentes, acompanhados dos profissionais encarregados pela obra, com a finalidade de verificar a adequação dos serviços e constatar e relacionar os arremates, retoques e revisões finais que se fizerem necessários.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Após tal inspeção, e o saneamento de qualquer incorreção apontada pela FISCALIZAÇÃO, será lavrado Termo de Recebimento Provisório, em 02 (duas) vias de igual teor e forma, ambas assinadas pela FISCALIZAÇÃO.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A CONTRATADA fica obrigada a reparar, corrigir, remover, reconstruir ou substituir, às suas expensas, no todo ou em parte, o objeto em que se verificarem vícios, defeitos ou incorreções resultantes da execução ou materiais empregados, cabendo à FISCALIZAÇÃO não atestar a última e/ou única medição de serviços até que sejam sanadas todas as eventuais</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Durante a o prazo de observação, que corresponderá ao período entre a emissão do termo de recebimento provisório e o recebimento definitivo, a CONTRATADA deverá fornecer toda a assistência técnica necessária à solução das imperfeições detectadas, independentemente de sua responsabilidade civil.</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Termo de Recebimento Definitivo das obras e/ou serviços contratados será lavrado em até 90 (noventa) dias após a lavratura do Termo de Recebimento Provisório, por servidor ou comissão designada pela autoridade competente, desde que tenham sido devidamente atendidas todas as exigências da FISCALIZAÇÃO quanto às pendências observadas antes e durante o prazo de observação, e somente depois de solucionadas todas as reclamações porventura feitas quanto à falta de pagamento a operários ou fornecedores de materiais e prestadores de serviços empregados na execução do contrato, entrega da CND e Alvará emitido pelo CBMRS (caso se aplique).</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lastRenderedPageBreak/>
        <w:t>Na hipótese de a verificação a que se refere o parágrafo anterior não ser procedida tempestivamente, reputar-se-á como realizada, consumando-se o recebimento definitivo no dia do esgotamento do prazo, desde que o fato seja comunicado à Contratante nos 15 (quinze) dias anteriores à exaustão do prazo.</w:t>
      </w:r>
    </w:p>
    <w:p w:rsidR="00186A14" w:rsidRDefault="005A6ED7">
      <w:pPr>
        <w:numPr>
          <w:ilvl w:val="1"/>
          <w:numId w:val="5"/>
        </w:numPr>
        <w:spacing w:before="240" w:after="240"/>
        <w:jc w:val="both"/>
        <w:rPr>
          <w:rFonts w:ascii="Arial" w:eastAsia="Arial" w:hAnsi="Arial" w:cs="Arial"/>
          <w:sz w:val="20"/>
          <w:szCs w:val="20"/>
        </w:rPr>
      </w:pPr>
      <w:r>
        <w:rPr>
          <w:rFonts w:ascii="Arial" w:eastAsia="Arial" w:hAnsi="Arial" w:cs="Arial"/>
          <w:sz w:val="20"/>
          <w:szCs w:val="20"/>
        </w:rPr>
        <w:t>O não atendimento às solicitações da FISCALIZAÇÃO poderá acarretar a suspensão no prazo para a emissão do Termo de Recebimento Definitivo.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O recebimento definitivo do objeto licitado não exime a CONTRATADA, em qualquer época, das garantias concedidas e das responsabilidades assumidas em contrato e por força das disposições legais em vigor (Lei n° 10.406, de 2002)</w:t>
      </w:r>
    </w:p>
    <w:p w:rsidR="00186A14" w:rsidRDefault="005A6ED7">
      <w:pPr>
        <w:keepNext/>
        <w:keepLines/>
        <w:numPr>
          <w:ilvl w:val="0"/>
          <w:numId w:val="5"/>
        </w:numPr>
        <w:pBdr>
          <w:top w:val="nil"/>
          <w:left w:val="nil"/>
          <w:bottom w:val="nil"/>
          <w:right w:val="nil"/>
          <w:between w:val="nil"/>
        </w:pBdr>
        <w:spacing w:before="480"/>
        <w:ind w:hanging="360"/>
        <w:jc w:val="both"/>
        <w:rPr>
          <w:rFonts w:ascii="Arial" w:eastAsia="Arial" w:hAnsi="Arial" w:cs="Arial"/>
          <w:b/>
          <w:color w:val="000000"/>
          <w:sz w:val="20"/>
          <w:szCs w:val="20"/>
        </w:rPr>
      </w:pPr>
      <w:r>
        <w:rPr>
          <w:rFonts w:ascii="Arial" w:eastAsia="Arial" w:hAnsi="Arial" w:cs="Arial"/>
          <w:b/>
          <w:color w:val="000000"/>
          <w:sz w:val="20"/>
          <w:szCs w:val="20"/>
        </w:rPr>
        <w:t>DO PAGAMENTO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color w:val="000000"/>
          <w:sz w:val="20"/>
          <w:szCs w:val="20"/>
        </w:rPr>
        <w:t xml:space="preserve">O </w:t>
      </w:r>
      <w:r>
        <w:rPr>
          <w:rFonts w:ascii="Arial" w:eastAsia="Arial" w:hAnsi="Arial" w:cs="Arial"/>
          <w:sz w:val="20"/>
          <w:szCs w:val="20"/>
        </w:rPr>
        <w:t>pagamento</w:t>
      </w:r>
      <w:r>
        <w:rPr>
          <w:rFonts w:ascii="Arial" w:eastAsia="Arial" w:hAnsi="Arial" w:cs="Arial"/>
          <w:color w:val="000000"/>
          <w:sz w:val="20"/>
          <w:szCs w:val="20"/>
        </w:rPr>
        <w:t xml:space="preserve"> será efetuado pela Contratante no prazo de 30 (trinta) dias, contados do recebimento da Nota Fiscal/Fatura.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color w:val="000000"/>
          <w:sz w:val="20"/>
          <w:szCs w:val="20"/>
        </w:rPr>
        <w:t xml:space="preserve">Os </w:t>
      </w:r>
      <w:r>
        <w:rPr>
          <w:rFonts w:ascii="Arial" w:eastAsia="Arial" w:hAnsi="Arial" w:cs="Arial"/>
          <w:sz w:val="20"/>
          <w:szCs w:val="20"/>
        </w:rPr>
        <w:t xml:space="preserve">pagamentos decorrentes de despesas cujos valores não ultrapassem o limite de que trata o inciso II do art. 24 da Lei 8.666, de 1993, deverão ser efetuados no prazo de até 5 (cinco) dias úteis, contados da data da apresentação da Nota Fiscal/Fatura, nos termos do art. 5º, § 3º, da Lei nº 8.666, </w:t>
      </w:r>
      <w:r>
        <w:rPr>
          <w:rFonts w:ascii="Arial" w:eastAsia="Arial" w:hAnsi="Arial" w:cs="Arial"/>
          <w:color w:val="000000"/>
          <w:sz w:val="20"/>
          <w:szCs w:val="20"/>
        </w:rPr>
        <w:t>de 1993.</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A emissão da Nota Fiscal/Fatura será precedida do recebimento definitivo do serviço, conforme este Projeto Básico</w:t>
      </w:r>
    </w:p>
    <w:p w:rsidR="00186A14" w:rsidRDefault="005A6ED7">
      <w:pPr>
        <w:numPr>
          <w:ilvl w:val="1"/>
          <w:numId w:val="5"/>
        </w:numP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t xml:space="preserve">A Nota Fiscal ou Fatura deverá ser obrigatoriamente acompanhada da comprovação da regularidade fiscal, constatada por meio de consulta on-line ao SICAF ou, na impossibilidade de acesso ao referido Sistema, mediante consulta aos sítios eletrônicos oficiais ou à documentação mencionada no art. 29 da Lei nº 8.666, de 1993. </w:t>
      </w:r>
    </w:p>
    <w:p w:rsidR="00186A14" w:rsidRDefault="005A6ED7">
      <w:pPr>
        <w:numPr>
          <w:ilvl w:val="2"/>
          <w:numId w:val="5"/>
        </w:numPr>
        <w:spacing w:before="120" w:after="120"/>
        <w:jc w:val="both"/>
        <w:rPr>
          <w:rFonts w:ascii="Arial" w:eastAsia="Arial" w:hAnsi="Arial" w:cs="Arial"/>
          <w:color w:val="000000"/>
          <w:sz w:val="20"/>
          <w:szCs w:val="20"/>
        </w:rPr>
      </w:pPr>
      <w:r>
        <w:rPr>
          <w:rFonts w:ascii="Arial" w:eastAsia="Arial" w:hAnsi="Arial" w:cs="Arial"/>
          <w:color w:val="000000"/>
          <w:sz w:val="20"/>
          <w:szCs w:val="20"/>
        </w:rPr>
        <w:t>Constatando-se, junto ao SICAF, a situação de irregularidade do fornecedor contratado, deverão ser tomadas as providências previstas no do art. 31 da Instrução Normativa nº 3, de 26 de abril de 2018.</w:t>
      </w:r>
    </w:p>
    <w:p w:rsidR="00186A14" w:rsidRDefault="005A6ED7">
      <w:pPr>
        <w:numPr>
          <w:ilvl w:val="1"/>
          <w:numId w:val="5"/>
        </w:numPr>
        <w:spacing w:before="120" w:after="120"/>
        <w:ind w:left="425" w:firstLine="0"/>
        <w:jc w:val="both"/>
        <w:rPr>
          <w:rFonts w:ascii="Arial" w:eastAsia="Arial" w:hAnsi="Arial" w:cs="Arial"/>
          <w:color w:val="000000"/>
          <w:sz w:val="20"/>
          <w:szCs w:val="20"/>
        </w:rPr>
      </w:pPr>
      <w:r>
        <w:rPr>
          <w:rFonts w:ascii="Arial" w:eastAsia="Arial" w:hAnsi="Arial" w:cs="Arial"/>
          <w:color w:val="000000"/>
          <w:sz w:val="20"/>
          <w:szCs w:val="20"/>
        </w:rPr>
        <w:t xml:space="preserve">O setor competente para proceder o pagamento deve verificar se a Nota Fiscal ou Fatura apresentada expressa os elementos necessários e essenciais do documento, tais como: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w:t>
      </w:r>
      <w:proofErr w:type="gramEnd"/>
      <w:r>
        <w:rPr>
          <w:rFonts w:ascii="Arial" w:eastAsia="Arial" w:hAnsi="Arial" w:cs="Arial"/>
          <w:color w:val="000000"/>
          <w:sz w:val="20"/>
          <w:szCs w:val="20"/>
        </w:rPr>
        <w:t xml:space="preserve"> prazo de validade;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a</w:t>
      </w:r>
      <w:proofErr w:type="gramEnd"/>
      <w:r>
        <w:rPr>
          <w:rFonts w:ascii="Arial" w:eastAsia="Arial" w:hAnsi="Arial" w:cs="Arial"/>
          <w:color w:val="000000"/>
          <w:sz w:val="20"/>
          <w:szCs w:val="20"/>
        </w:rPr>
        <w:t xml:space="preserve"> data da emissão;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os</w:t>
      </w:r>
      <w:proofErr w:type="gramEnd"/>
      <w:r>
        <w:rPr>
          <w:rFonts w:ascii="Arial" w:eastAsia="Arial" w:hAnsi="Arial" w:cs="Arial"/>
          <w:color w:val="000000"/>
          <w:sz w:val="20"/>
          <w:szCs w:val="20"/>
        </w:rPr>
        <w:t xml:space="preserve"> dados do contrato e do órgão contratante;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w:t>
      </w:r>
      <w:proofErr w:type="gramEnd"/>
      <w:r>
        <w:rPr>
          <w:rFonts w:ascii="Arial" w:eastAsia="Arial" w:hAnsi="Arial" w:cs="Arial"/>
          <w:color w:val="000000"/>
          <w:sz w:val="20"/>
          <w:szCs w:val="20"/>
        </w:rPr>
        <w:t xml:space="preserve"> período de prestação dos serviços;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o</w:t>
      </w:r>
      <w:proofErr w:type="gramEnd"/>
      <w:r>
        <w:rPr>
          <w:rFonts w:ascii="Arial" w:eastAsia="Arial" w:hAnsi="Arial" w:cs="Arial"/>
          <w:color w:val="000000"/>
          <w:sz w:val="20"/>
          <w:szCs w:val="20"/>
        </w:rPr>
        <w:t xml:space="preserve"> valor a pagar; e </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eventual</w:t>
      </w:r>
      <w:proofErr w:type="gramEnd"/>
      <w:r>
        <w:rPr>
          <w:rFonts w:ascii="Arial" w:eastAsia="Arial" w:hAnsi="Arial" w:cs="Arial"/>
          <w:color w:val="000000"/>
          <w:sz w:val="20"/>
          <w:szCs w:val="20"/>
        </w:rPr>
        <w:t xml:space="preserve"> destaque do valor de retenções tributárias cabíveis.</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Havendo erro </w:t>
      </w:r>
      <w:r>
        <w:rPr>
          <w:rFonts w:ascii="Arial" w:eastAsia="Arial" w:hAnsi="Arial" w:cs="Arial"/>
          <w:color w:val="000000"/>
          <w:sz w:val="20"/>
          <w:szCs w:val="20"/>
        </w:rPr>
        <w:t>na</w:t>
      </w:r>
      <w:r>
        <w:rPr>
          <w:rFonts w:ascii="Arial" w:eastAsia="Arial" w:hAnsi="Arial" w:cs="Arial"/>
          <w:sz w:val="20"/>
          <w:szCs w:val="20"/>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Nos termos do item 1, do Anexo VIII-A da Instrução Normativa SEGES/MP nº 05, de 2017, será </w:t>
      </w:r>
      <w:r>
        <w:rPr>
          <w:rFonts w:ascii="Arial" w:eastAsia="Arial" w:hAnsi="Arial" w:cs="Arial"/>
          <w:color w:val="000000"/>
          <w:sz w:val="20"/>
          <w:szCs w:val="20"/>
        </w:rPr>
        <w:t>efetuada</w:t>
      </w:r>
      <w:r>
        <w:rPr>
          <w:rFonts w:ascii="Arial" w:eastAsia="Arial" w:hAnsi="Arial" w:cs="Arial"/>
          <w:sz w:val="20"/>
          <w:szCs w:val="20"/>
        </w:rPr>
        <w:t xml:space="preserve"> a retenção ou glosa no pagamento, proporcional à irregularidade verificada, sem prejuízo das sanções cabíveis, caso se constate que a Contratada:</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lastRenderedPageBreak/>
        <w:t>não</w:t>
      </w:r>
      <w:proofErr w:type="gramEnd"/>
      <w:r>
        <w:rPr>
          <w:rFonts w:ascii="Arial" w:eastAsia="Arial" w:hAnsi="Arial" w:cs="Arial"/>
          <w:color w:val="000000"/>
          <w:sz w:val="20"/>
          <w:szCs w:val="20"/>
        </w:rPr>
        <w:t xml:space="preserve"> produziu os resultados acordados;</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deixou</w:t>
      </w:r>
      <w:proofErr w:type="gramEnd"/>
      <w:r>
        <w:rPr>
          <w:rFonts w:ascii="Arial" w:eastAsia="Arial" w:hAnsi="Arial" w:cs="Arial"/>
          <w:color w:val="000000"/>
          <w:sz w:val="20"/>
          <w:szCs w:val="20"/>
        </w:rPr>
        <w:t xml:space="preserve"> de executar as atividades contratadas, ou não as executou com a qualidade mínima exigida;</w:t>
      </w:r>
    </w:p>
    <w:p w:rsidR="00186A14" w:rsidRDefault="005A6ED7">
      <w:pPr>
        <w:numPr>
          <w:ilvl w:val="2"/>
          <w:numId w:val="5"/>
        </w:numPr>
        <w:spacing w:before="120" w:after="120"/>
        <w:jc w:val="both"/>
        <w:rPr>
          <w:rFonts w:ascii="Arial" w:eastAsia="Arial" w:hAnsi="Arial" w:cs="Arial"/>
          <w:color w:val="000000"/>
          <w:sz w:val="20"/>
          <w:szCs w:val="20"/>
        </w:rPr>
      </w:pPr>
      <w:proofErr w:type="gramStart"/>
      <w:r>
        <w:rPr>
          <w:rFonts w:ascii="Arial" w:eastAsia="Arial" w:hAnsi="Arial" w:cs="Arial"/>
          <w:color w:val="000000"/>
          <w:sz w:val="20"/>
          <w:szCs w:val="20"/>
        </w:rPr>
        <w:t>deixou</w:t>
      </w:r>
      <w:proofErr w:type="gramEnd"/>
      <w:r>
        <w:rPr>
          <w:rFonts w:ascii="Arial" w:eastAsia="Arial" w:hAnsi="Arial" w:cs="Arial"/>
          <w:color w:val="000000"/>
          <w:sz w:val="20"/>
          <w:szCs w:val="20"/>
        </w:rPr>
        <w:t xml:space="preserve"> de utilizar os materiais e recursos humanos exigidos para a execução do serviço, ou utilizou-os com qualidade ou quantidade inferior à demandada.</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Será considerada data do pagamento o dia em que constar como emitida a ordem bancária para pagamento.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Antes de cada pagamento à contratada, será realizada consulta ao SICAF para verificar a manutenção das condições de habilitação exigidas no edital.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SEGES/MP nº 3, de 26 de abril de 2018.</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Persistindo a irregularidade, a contratante deverá adotar as medidas necessárias à rescisão contratual nos autos do processo administrativo correspondente, assegurada à contratada a ampla defesa. </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 xml:space="preserve">Havendo a efetiva execução do objeto, os pagamentos serão realizados normalmente, até que se decida pela rescisão do contrato, caso a contratada não regularize sua situação junto ao SICAF.  </w:t>
      </w:r>
    </w:p>
    <w:p w:rsidR="00186A14" w:rsidRDefault="005A6ED7">
      <w:pPr>
        <w:numPr>
          <w:ilvl w:val="2"/>
          <w:numId w:val="5"/>
        </w:numPr>
        <w:spacing w:before="120" w:after="120"/>
        <w:jc w:val="both"/>
        <w:rPr>
          <w:rFonts w:ascii="Arial" w:eastAsia="Arial" w:hAnsi="Arial" w:cs="Arial"/>
          <w:sz w:val="20"/>
          <w:szCs w:val="20"/>
        </w:rPr>
      </w:pPr>
      <w:r>
        <w:rPr>
          <w:rFonts w:ascii="Arial" w:eastAsia="Arial" w:hAnsi="Arial" w:cs="Arial"/>
          <w:sz w:val="20"/>
          <w:szCs w:val="20"/>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186A14" w:rsidRDefault="005A6ED7">
      <w:pPr>
        <w:numPr>
          <w:ilvl w:val="1"/>
          <w:numId w:val="5"/>
        </w:numPr>
        <w:pBdr>
          <w:top w:val="nil"/>
          <w:left w:val="nil"/>
          <w:bottom w:val="nil"/>
          <w:right w:val="nil"/>
          <w:between w:val="nil"/>
        </w:pBdr>
        <w:spacing w:before="120" w:line="276" w:lineRule="auto"/>
        <w:ind w:left="425" w:firstLine="0"/>
        <w:jc w:val="both"/>
        <w:rPr>
          <w:rFonts w:ascii="Arial" w:eastAsia="Arial" w:hAnsi="Arial" w:cs="Arial"/>
          <w:color w:val="000000"/>
          <w:sz w:val="20"/>
          <w:szCs w:val="20"/>
        </w:rPr>
      </w:pPr>
      <w:r>
        <w:rPr>
          <w:rFonts w:ascii="Arial" w:eastAsia="Arial" w:hAnsi="Arial" w:cs="Arial"/>
          <w:color w:val="000000"/>
          <w:sz w:val="20"/>
          <w:szCs w:val="20"/>
        </w:rPr>
        <w:t>Quando do pagamento, será efetuada a retenção tributária prevista na legislação aplicável, nos termos do item 6 do Anexo XI da IN SEGES/MP n. 5/2017, quando couber.</w:t>
      </w:r>
    </w:p>
    <w:p w:rsidR="00186A14" w:rsidRDefault="005A6ED7">
      <w:pPr>
        <w:numPr>
          <w:ilvl w:val="1"/>
          <w:numId w:val="5"/>
        </w:numPr>
        <w:pBdr>
          <w:top w:val="nil"/>
          <w:left w:val="nil"/>
          <w:bottom w:val="nil"/>
          <w:right w:val="nil"/>
          <w:between w:val="nil"/>
        </w:pBdr>
        <w:spacing w:line="276" w:lineRule="auto"/>
        <w:ind w:left="425" w:firstLine="0"/>
        <w:jc w:val="both"/>
        <w:rPr>
          <w:rFonts w:ascii="Arial" w:eastAsia="Arial" w:hAnsi="Arial" w:cs="Arial"/>
          <w:color w:val="000000"/>
          <w:sz w:val="20"/>
          <w:szCs w:val="20"/>
        </w:rPr>
      </w:pPr>
      <w:r>
        <w:rPr>
          <w:rFonts w:ascii="Arial" w:eastAsia="Arial" w:hAnsi="Arial" w:cs="Arial"/>
          <w:color w:val="000000"/>
          <w:sz w:val="20"/>
          <w:szCs w:val="20"/>
        </w:rPr>
        <w:t>É vedado o pagamento, a qualquer título, por serviços prestados, à empresa privada que tenha em seu quadro societário servidor público da ativa do órgão contratante, com fundamento na Lei de Diretrizes Orçamentárias vigente.</w:t>
      </w:r>
    </w:p>
    <w:p w:rsidR="00186A14" w:rsidRDefault="00186A14">
      <w:pPr>
        <w:pBdr>
          <w:top w:val="nil"/>
          <w:left w:val="nil"/>
          <w:bottom w:val="nil"/>
          <w:right w:val="nil"/>
          <w:between w:val="nil"/>
        </w:pBdr>
        <w:ind w:left="1141"/>
        <w:jc w:val="both"/>
        <w:rPr>
          <w:rFonts w:ascii="Arial" w:eastAsia="Arial" w:hAnsi="Arial" w:cs="Arial"/>
          <w:color w:val="000000"/>
          <w:sz w:val="20"/>
          <w:szCs w:val="20"/>
        </w:rPr>
      </w:pPr>
    </w:p>
    <w:p w:rsidR="00186A14" w:rsidRDefault="005A6ED7">
      <w:pPr>
        <w:numPr>
          <w:ilvl w:val="1"/>
          <w:numId w:val="5"/>
        </w:numPr>
        <w:pBdr>
          <w:top w:val="nil"/>
          <w:left w:val="nil"/>
          <w:bottom w:val="nil"/>
          <w:right w:val="nil"/>
          <w:between w:val="nil"/>
        </w:pBdr>
        <w:ind w:left="425" w:firstLine="0"/>
        <w:jc w:val="both"/>
        <w:rPr>
          <w:rFonts w:ascii="Arial" w:eastAsia="Arial" w:hAnsi="Arial" w:cs="Arial"/>
          <w:color w:val="000000"/>
          <w:sz w:val="20"/>
          <w:szCs w:val="20"/>
        </w:rPr>
      </w:pPr>
      <w:r>
        <w:rPr>
          <w:rFonts w:ascii="Arial" w:eastAsia="Arial" w:hAnsi="Arial" w:cs="Arial"/>
          <w:color w:val="000000"/>
          <w:sz w:val="20"/>
          <w:szCs w:val="20"/>
        </w:rPr>
        <w:t>No caso de obras, caso não seja apresentada a documentação comprobatória do cumprimento das obrigações de que trata a IN SEGES/MP nº 6, de 2018, a contratante comunicará o fato à contratada e reterá o pagamento da fatura mensal, em valor proporcional ao inadimplemento, até que a situação seja regularizada.</w:t>
      </w:r>
    </w:p>
    <w:p w:rsidR="00186A14" w:rsidRDefault="005A6ED7">
      <w:pPr>
        <w:numPr>
          <w:ilvl w:val="2"/>
          <w:numId w:val="5"/>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Na hipótese prevista no subitem anterior, não havendo quitação das obrigações por parte da contratada no prazo de quinze dias, a contratante poderá </w:t>
      </w:r>
      <w:r>
        <w:rPr>
          <w:rFonts w:ascii="Arial" w:eastAsia="Arial" w:hAnsi="Arial" w:cs="Arial"/>
          <w:color w:val="000000"/>
          <w:sz w:val="20"/>
          <w:szCs w:val="20"/>
        </w:rPr>
        <w:lastRenderedPageBreak/>
        <w:t>efetuar o pagamento das obrigações diretamente aos empregados da contratada que tenham participado da execução dos serviços objeto do contrato.</w:t>
      </w:r>
    </w:p>
    <w:p w:rsidR="00186A14" w:rsidRDefault="005A6ED7">
      <w:pPr>
        <w:numPr>
          <w:ilvl w:val="2"/>
          <w:numId w:val="5"/>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O contrato poderá ser rescindido por ato unilateral e escrito da contratante e a aplicação das penalidades cabíveis para os casos do não pagamento dos salários e demais verbas trabalhistas, bem como pelo não recolhimento das contribuições sociais, previdenciárias e para com o Fundo de Garantia do Tempo de Serviço (FGTS), em relação aos empregados da contratada que efetivamente participarem da execução do contrato.</w:t>
      </w:r>
    </w:p>
    <w:p w:rsidR="00186A14" w:rsidRDefault="005A6ED7">
      <w:pPr>
        <w:numPr>
          <w:ilvl w:val="1"/>
          <w:numId w:val="5"/>
        </w:numPr>
        <w:spacing w:before="120" w:after="120"/>
        <w:ind w:left="425" w:firstLine="0"/>
        <w:jc w:val="both"/>
        <w:rPr>
          <w:rFonts w:ascii="Arial" w:eastAsia="Arial" w:hAnsi="Arial" w:cs="Arial"/>
          <w:sz w:val="20"/>
          <w:szCs w:val="20"/>
        </w:rPr>
      </w:pPr>
      <w:r>
        <w:rPr>
          <w:rFonts w:ascii="Arial" w:eastAsia="Arial" w:hAnsi="Arial" w:cs="Arial"/>
          <w:sz w:val="20"/>
          <w:szCs w:val="20"/>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186A14" w:rsidRDefault="005A6ED7">
      <w:pPr>
        <w:ind w:left="426" w:firstLine="708"/>
        <w:jc w:val="both"/>
        <w:rPr>
          <w:rFonts w:ascii="Arial" w:eastAsia="Arial" w:hAnsi="Arial" w:cs="Arial"/>
          <w:sz w:val="20"/>
          <w:szCs w:val="20"/>
        </w:rPr>
      </w:pPr>
      <w:r>
        <w:rPr>
          <w:rFonts w:ascii="Arial" w:eastAsia="Arial" w:hAnsi="Arial" w:cs="Arial"/>
          <w:sz w:val="20"/>
          <w:szCs w:val="20"/>
        </w:rPr>
        <w:t>EM = I x N x VP, sendo:</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EM = Encargos moratórios;</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N = Número de dias entre a data prevista para o pagamento e a do efetivo pagamento;</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VP = Valor da parcela a ser paga.</w:t>
      </w:r>
    </w:p>
    <w:p w:rsidR="00186A14" w:rsidRDefault="005A6ED7">
      <w:pPr>
        <w:tabs>
          <w:tab w:val="left" w:pos="1701"/>
        </w:tabs>
        <w:ind w:firstLine="1134"/>
        <w:jc w:val="both"/>
        <w:rPr>
          <w:rFonts w:ascii="Arial" w:eastAsia="Arial" w:hAnsi="Arial" w:cs="Arial"/>
          <w:color w:val="000000"/>
          <w:sz w:val="20"/>
          <w:szCs w:val="20"/>
        </w:rPr>
      </w:pPr>
      <w:r>
        <w:rPr>
          <w:rFonts w:ascii="Arial" w:eastAsia="Arial" w:hAnsi="Arial" w:cs="Arial"/>
          <w:color w:val="000000"/>
          <w:sz w:val="20"/>
          <w:szCs w:val="20"/>
        </w:rPr>
        <w:t>I = Índice de compensação financeira = 0,00016438, assim apurado:</w:t>
      </w:r>
    </w:p>
    <w:tbl>
      <w:tblPr>
        <w:tblStyle w:val="a0"/>
        <w:tblW w:w="8646" w:type="dxa"/>
        <w:tblInd w:w="425" w:type="dxa"/>
        <w:tblBorders>
          <w:top w:val="nil"/>
          <w:left w:val="nil"/>
          <w:bottom w:val="nil"/>
          <w:right w:val="nil"/>
          <w:insideH w:val="nil"/>
          <w:insideV w:val="nil"/>
        </w:tblBorders>
        <w:tblLayout w:type="fixed"/>
        <w:tblLook w:val="0400" w:firstRow="0" w:lastRow="0" w:firstColumn="0" w:lastColumn="0" w:noHBand="0" w:noVBand="1"/>
      </w:tblPr>
      <w:tblGrid>
        <w:gridCol w:w="2148"/>
        <w:gridCol w:w="441"/>
        <w:gridCol w:w="1251"/>
        <w:gridCol w:w="4806"/>
      </w:tblGrid>
      <w:tr w:rsidR="00186A14">
        <w:tc>
          <w:tcPr>
            <w:tcW w:w="2148" w:type="dxa"/>
            <w:vMerge w:val="restart"/>
            <w:vAlign w:val="center"/>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I = (TX)</w:t>
            </w:r>
          </w:p>
        </w:tc>
        <w:tc>
          <w:tcPr>
            <w:tcW w:w="441" w:type="dxa"/>
            <w:vMerge w:val="restart"/>
            <w:vAlign w:val="center"/>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 xml:space="preserve">I = </w:t>
            </w:r>
          </w:p>
        </w:tc>
        <w:tc>
          <w:tcPr>
            <w:tcW w:w="1251" w:type="dxa"/>
            <w:tcBorders>
              <w:top w:val="nil"/>
              <w:left w:val="nil"/>
              <w:bottom w:val="single" w:sz="4" w:space="0" w:color="000000"/>
              <w:right w:val="nil"/>
            </w:tcBorders>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( 6 / 100 )</w:t>
            </w:r>
          </w:p>
        </w:tc>
        <w:tc>
          <w:tcPr>
            <w:tcW w:w="4806" w:type="dxa"/>
            <w:vMerge w:val="restart"/>
            <w:vAlign w:val="center"/>
          </w:tcPr>
          <w:p w:rsidR="00186A14" w:rsidRDefault="005A6ED7">
            <w:pPr>
              <w:tabs>
                <w:tab w:val="left" w:pos="1701"/>
              </w:tabs>
              <w:ind w:left="742"/>
              <w:jc w:val="both"/>
              <w:rPr>
                <w:rFonts w:ascii="Arial" w:eastAsia="Arial" w:hAnsi="Arial" w:cs="Arial"/>
                <w:color w:val="000000"/>
                <w:sz w:val="20"/>
                <w:szCs w:val="20"/>
              </w:rPr>
            </w:pPr>
            <w:r>
              <w:rPr>
                <w:rFonts w:ascii="Arial" w:eastAsia="Arial" w:hAnsi="Arial" w:cs="Arial"/>
                <w:color w:val="000000"/>
                <w:sz w:val="20"/>
                <w:szCs w:val="20"/>
              </w:rPr>
              <w:t>I = 0,00016438</w:t>
            </w:r>
          </w:p>
          <w:p w:rsidR="00186A14" w:rsidRDefault="005A6ED7">
            <w:pPr>
              <w:tabs>
                <w:tab w:val="left" w:pos="1701"/>
              </w:tabs>
              <w:ind w:left="742"/>
              <w:jc w:val="both"/>
              <w:rPr>
                <w:rFonts w:ascii="Arial" w:eastAsia="Arial" w:hAnsi="Arial" w:cs="Arial"/>
                <w:color w:val="000000"/>
                <w:sz w:val="20"/>
                <w:szCs w:val="20"/>
              </w:rPr>
            </w:pPr>
            <w:r>
              <w:rPr>
                <w:rFonts w:ascii="Arial" w:eastAsia="Arial" w:hAnsi="Arial" w:cs="Arial"/>
                <w:color w:val="000000"/>
                <w:sz w:val="20"/>
                <w:szCs w:val="20"/>
              </w:rPr>
              <w:t>TX = Percentual da taxa anual = 6%</w:t>
            </w:r>
          </w:p>
          <w:p w:rsidR="00186A14" w:rsidRDefault="00186A14">
            <w:pPr>
              <w:tabs>
                <w:tab w:val="left" w:pos="1701"/>
              </w:tabs>
              <w:ind w:left="742"/>
              <w:jc w:val="both"/>
              <w:rPr>
                <w:rFonts w:ascii="Arial" w:eastAsia="Arial" w:hAnsi="Arial" w:cs="Arial"/>
                <w:color w:val="000000"/>
                <w:sz w:val="20"/>
                <w:szCs w:val="20"/>
              </w:rPr>
            </w:pPr>
          </w:p>
        </w:tc>
      </w:tr>
      <w:tr w:rsidR="00186A14">
        <w:tc>
          <w:tcPr>
            <w:tcW w:w="2148"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441"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c>
          <w:tcPr>
            <w:tcW w:w="1251" w:type="dxa"/>
            <w:tcBorders>
              <w:top w:val="single" w:sz="4" w:space="0" w:color="000000"/>
              <w:left w:val="nil"/>
              <w:bottom w:val="nil"/>
              <w:right w:val="nil"/>
            </w:tcBorders>
          </w:tcPr>
          <w:p w:rsidR="00186A14" w:rsidRDefault="005A6ED7">
            <w:pPr>
              <w:tabs>
                <w:tab w:val="left" w:pos="1701"/>
              </w:tabs>
              <w:jc w:val="both"/>
              <w:rPr>
                <w:rFonts w:ascii="Arial" w:eastAsia="Arial" w:hAnsi="Arial" w:cs="Arial"/>
                <w:color w:val="000000"/>
                <w:sz w:val="20"/>
                <w:szCs w:val="20"/>
              </w:rPr>
            </w:pPr>
            <w:r>
              <w:rPr>
                <w:rFonts w:ascii="Arial" w:eastAsia="Arial" w:hAnsi="Arial" w:cs="Arial"/>
                <w:color w:val="000000"/>
                <w:sz w:val="20"/>
                <w:szCs w:val="20"/>
              </w:rPr>
              <w:t>365</w:t>
            </w:r>
          </w:p>
        </w:tc>
        <w:tc>
          <w:tcPr>
            <w:tcW w:w="4806" w:type="dxa"/>
            <w:vMerge/>
            <w:vAlign w:val="center"/>
          </w:tcPr>
          <w:p w:rsidR="00186A14" w:rsidRDefault="00186A14">
            <w:pPr>
              <w:widowControl w:val="0"/>
              <w:pBdr>
                <w:top w:val="nil"/>
                <w:left w:val="nil"/>
                <w:bottom w:val="nil"/>
                <w:right w:val="nil"/>
                <w:between w:val="nil"/>
              </w:pBdr>
              <w:spacing w:line="276" w:lineRule="auto"/>
              <w:rPr>
                <w:rFonts w:ascii="Arial" w:eastAsia="Arial" w:hAnsi="Arial" w:cs="Arial"/>
                <w:color w:val="000000"/>
                <w:sz w:val="20"/>
                <w:szCs w:val="20"/>
              </w:rPr>
            </w:pPr>
          </w:p>
        </w:tc>
      </w:tr>
    </w:tbl>
    <w:p w:rsidR="00186A14" w:rsidRDefault="005A6ED7">
      <w:pPr>
        <w:keepNext/>
        <w:keepLines/>
        <w:numPr>
          <w:ilvl w:val="0"/>
          <w:numId w:val="1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REAJUSTE</w:t>
      </w:r>
    </w:p>
    <w:p w:rsidR="00186A14" w:rsidRDefault="005A6ED7">
      <w:pPr>
        <w:numPr>
          <w:ilvl w:val="2"/>
          <w:numId w:val="13"/>
        </w:numPr>
        <w:pBdr>
          <w:top w:val="nil"/>
          <w:left w:val="nil"/>
          <w:bottom w:val="nil"/>
          <w:right w:val="nil"/>
          <w:between w:val="nil"/>
        </w:pBdr>
        <w:spacing w:before="120" w:after="120"/>
        <w:jc w:val="both"/>
        <w:rPr>
          <w:rFonts w:ascii="Arial" w:eastAsia="Arial" w:hAnsi="Arial" w:cs="Arial"/>
          <w:color w:val="000000"/>
          <w:sz w:val="20"/>
          <w:szCs w:val="20"/>
        </w:rPr>
      </w:pPr>
      <w:r>
        <w:rPr>
          <w:rFonts w:ascii="Arial" w:eastAsia="Arial" w:hAnsi="Arial" w:cs="Arial"/>
          <w:color w:val="000000"/>
          <w:sz w:val="20"/>
          <w:szCs w:val="20"/>
        </w:rPr>
        <w:t xml:space="preserve">Dentro do prazo de vigência do contrato e mediante solicitação da contratada, os preços contratados poderão sofrer reajuste após o interregno de um ano, aplicando-se </w:t>
      </w:r>
      <w:r>
        <w:rPr>
          <w:rFonts w:ascii="Arial" w:eastAsia="Arial" w:hAnsi="Arial" w:cs="Arial"/>
          <w:sz w:val="20"/>
          <w:szCs w:val="20"/>
        </w:rPr>
        <w:t>o índice INCC e</w:t>
      </w:r>
      <w:r>
        <w:rPr>
          <w:rFonts w:ascii="Arial" w:eastAsia="Arial" w:hAnsi="Arial" w:cs="Arial"/>
          <w:color w:val="000000"/>
          <w:sz w:val="20"/>
          <w:szCs w:val="20"/>
        </w:rPr>
        <w:t>xclusivamente para as obrigações iniciadas e concluídas após a ocorrência da anualidade.</w:t>
      </w:r>
    </w:p>
    <w:p w:rsidR="00186A14" w:rsidRDefault="005A6ED7">
      <w:pPr>
        <w:numPr>
          <w:ilvl w:val="1"/>
          <w:numId w:val="13"/>
        </w:numPr>
        <w:pBdr>
          <w:top w:val="nil"/>
          <w:left w:val="nil"/>
          <w:bottom w:val="nil"/>
          <w:right w:val="nil"/>
          <w:between w:val="nil"/>
        </w:pBdr>
        <w:spacing w:before="120"/>
        <w:jc w:val="both"/>
        <w:rPr>
          <w:rFonts w:ascii="Arial" w:eastAsia="Arial" w:hAnsi="Arial" w:cs="Arial"/>
          <w:color w:val="000000"/>
          <w:sz w:val="20"/>
          <w:szCs w:val="20"/>
        </w:rPr>
      </w:pPr>
      <w:r>
        <w:rPr>
          <w:rFonts w:ascii="Arial" w:eastAsia="Arial" w:hAnsi="Arial" w:cs="Arial"/>
          <w:color w:val="000000"/>
          <w:sz w:val="20"/>
          <w:szCs w:val="20"/>
        </w:rPr>
        <w:t>Nos reajustes subsequentes ao primeiro, o interregno mínimo de um ano será contado a partir dos efeitos financeiros do último reajuste.</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No caso de atraso ou não divulgação do índice de reajustamento, o CONTRATANTE pagará à CONTRATADA a importância calculada pela última variação conhecida, liquidando a diferença correspondente tão logo seja divulgado o índice definitivo. Fica a CONTRATADA obrigada a apresentar memória de cálculo referente ao reajustamento de preços do valor remanescente, sempre que este ocorrer. </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Nas aferições finais, o índice utilizado para reajuste será, obrigatoriamente, o definitivo.</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Caso o índice estabelecido para reajustamento venha a ser extinto ou de qualquer forma não possa mais ser utilizado, será adotado, em substituição, o que vier a ser determinado pela legislação então em vigor.</w:t>
      </w:r>
    </w:p>
    <w:p w:rsidR="00186A14" w:rsidRDefault="005A6ED7">
      <w:pPr>
        <w:numPr>
          <w:ilvl w:val="1"/>
          <w:numId w:val="13"/>
        </w:numPr>
        <w:pBdr>
          <w:top w:val="nil"/>
          <w:left w:val="nil"/>
          <w:bottom w:val="nil"/>
          <w:right w:val="nil"/>
          <w:between w:val="nil"/>
        </w:pBdr>
        <w:jc w:val="both"/>
        <w:rPr>
          <w:rFonts w:ascii="Arial" w:eastAsia="Arial" w:hAnsi="Arial" w:cs="Arial"/>
          <w:color w:val="000000"/>
          <w:sz w:val="20"/>
          <w:szCs w:val="20"/>
        </w:rPr>
      </w:pPr>
      <w:r>
        <w:rPr>
          <w:rFonts w:ascii="Arial" w:eastAsia="Arial" w:hAnsi="Arial" w:cs="Arial"/>
          <w:color w:val="000000"/>
          <w:sz w:val="20"/>
          <w:szCs w:val="20"/>
        </w:rPr>
        <w:t xml:space="preserve">Na ausência de previsão legal quanto ao índice substituto, as partes elegerão novo índice oficial, para reajustamento do preço do valor remanescente, por meio de termo aditivo. </w:t>
      </w:r>
    </w:p>
    <w:p w:rsidR="00186A14" w:rsidRDefault="005A6ED7">
      <w:pPr>
        <w:numPr>
          <w:ilvl w:val="1"/>
          <w:numId w:val="13"/>
        </w:numPr>
        <w:pBdr>
          <w:top w:val="nil"/>
          <w:left w:val="nil"/>
          <w:bottom w:val="nil"/>
          <w:right w:val="nil"/>
          <w:between w:val="nil"/>
        </w:pBdr>
        <w:spacing w:after="120"/>
        <w:jc w:val="both"/>
        <w:rPr>
          <w:rFonts w:ascii="Arial" w:eastAsia="Arial" w:hAnsi="Arial" w:cs="Arial"/>
          <w:color w:val="000000"/>
          <w:sz w:val="20"/>
          <w:szCs w:val="20"/>
        </w:rPr>
      </w:pPr>
      <w:r>
        <w:rPr>
          <w:rFonts w:ascii="Arial" w:eastAsia="Arial" w:hAnsi="Arial" w:cs="Arial"/>
          <w:color w:val="000000"/>
          <w:sz w:val="20"/>
          <w:szCs w:val="20"/>
        </w:rPr>
        <w:t xml:space="preserve">O reajuste será realizado por </w:t>
      </w:r>
      <w:proofErr w:type="spellStart"/>
      <w:r>
        <w:rPr>
          <w:rFonts w:ascii="Arial" w:eastAsia="Arial" w:hAnsi="Arial" w:cs="Arial"/>
          <w:color w:val="000000"/>
          <w:sz w:val="20"/>
          <w:szCs w:val="20"/>
        </w:rPr>
        <w:t>apostilamento</w:t>
      </w:r>
      <w:proofErr w:type="spellEnd"/>
      <w:r>
        <w:rPr>
          <w:rFonts w:ascii="Arial" w:eastAsia="Arial" w:hAnsi="Arial" w:cs="Arial"/>
          <w:color w:val="000000"/>
          <w:sz w:val="20"/>
          <w:szCs w:val="20"/>
        </w:rPr>
        <w:t>.</w:t>
      </w:r>
    </w:p>
    <w:p w:rsidR="00186A14" w:rsidRDefault="005A6ED7">
      <w:pPr>
        <w:keepNext/>
        <w:keepLines/>
        <w:numPr>
          <w:ilvl w:val="0"/>
          <w:numId w:val="1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GARANTIA DA EXECUÇÃO</w:t>
      </w:r>
    </w:p>
    <w:p w:rsidR="00186A14" w:rsidRDefault="005A6ED7">
      <w:pPr>
        <w:tabs>
          <w:tab w:val="left" w:pos="915"/>
        </w:tabs>
        <w:spacing w:line="276" w:lineRule="auto"/>
        <w:rPr>
          <w:rFonts w:ascii="Arial" w:eastAsia="Arial" w:hAnsi="Arial" w:cs="Arial"/>
          <w:i/>
          <w:color w:val="FF0000"/>
          <w:sz w:val="20"/>
          <w:szCs w:val="20"/>
        </w:rPr>
      </w:pPr>
      <w:r>
        <w:rPr>
          <w:rFonts w:ascii="Arial" w:eastAsia="Arial" w:hAnsi="Arial" w:cs="Arial"/>
          <w:i/>
          <w:color w:val="FF0000"/>
          <w:sz w:val="20"/>
          <w:szCs w:val="20"/>
        </w:rPr>
        <w:tab/>
      </w:r>
    </w:p>
    <w:p w:rsidR="00186A14" w:rsidRDefault="005A6ED7">
      <w:pPr>
        <w:numPr>
          <w:ilvl w:val="1"/>
          <w:numId w:val="8"/>
        </w:numPr>
        <w:spacing w:before="120" w:after="120" w:line="276" w:lineRule="auto"/>
        <w:jc w:val="both"/>
        <w:rPr>
          <w:rFonts w:ascii="Arial" w:eastAsia="Arial" w:hAnsi="Arial" w:cs="Arial"/>
          <w:sz w:val="20"/>
          <w:szCs w:val="20"/>
        </w:rPr>
      </w:pPr>
      <w:r>
        <w:rPr>
          <w:rFonts w:ascii="Arial" w:eastAsia="Arial" w:hAnsi="Arial" w:cs="Arial"/>
          <w:sz w:val="20"/>
          <w:szCs w:val="20"/>
        </w:rPr>
        <w:t xml:space="preserve">O adjudicatário prestará garantia de execução do contrato, nos moldes do art. 56 da Lei nº 8.666, de 1993, com validade durante a execução do contrato e por 90 (noventa) dias </w:t>
      </w:r>
      <w:r>
        <w:rPr>
          <w:rFonts w:ascii="Arial" w:eastAsia="Arial" w:hAnsi="Arial" w:cs="Arial"/>
          <w:sz w:val="20"/>
          <w:szCs w:val="20"/>
        </w:rPr>
        <w:lastRenderedPageBreak/>
        <w:t>após o término da vigência contratual, em valor correspondente a 5% (cinco por cento) do valor total do contrato.</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No prazo máximo de 10 (dez) dias úteis, prorrogáveis por igual período, a critério do contratante, contados da assinatura do contrato, a contratada deverá apresentar comprovante de prestação de garantia, podendo optar por caução em dinheiro ou títulos da dívida pública, seguro-garantia ou fiança bancária.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A inobservância do prazo fixado para apresentação da garantia acarretará a aplicação de multa de 0,07% (sete centésimos por cento) do valor total do contrato por dia de atraso, até o máximo de 2% (dois por cento).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O atraso superior a 25 (vinte e cinco) dias autoriza a Administração a promover a rescisão do contrato por descumprimento ou cumprimento irregular de suas cláusulas, conforme dispõem os incisos I e II do art. 78 da Lei n. 8.666 de 1993.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validade da garantia, qualquer que seja a modalidade escolhida, deverá abranger um período de 90 dias após o término da vigência contratual, conforme item 3.1 do Anexo VII-F da IN SEGES/MP nº 5/2017.</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A garantia assegurará, qualquer que seja a modalidade escolhida, o pagamento de: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prejuízos</w:t>
      </w:r>
      <w:proofErr w:type="gramEnd"/>
      <w:r>
        <w:rPr>
          <w:rFonts w:ascii="Arial" w:eastAsia="Arial" w:hAnsi="Arial" w:cs="Arial"/>
          <w:sz w:val="20"/>
          <w:szCs w:val="20"/>
        </w:rPr>
        <w:t xml:space="preserve"> advindos do não cumprimento do objeto do contrato e do não adimplemento das demais obrigações nele previstas;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prejuízos</w:t>
      </w:r>
      <w:proofErr w:type="gramEnd"/>
      <w:r>
        <w:rPr>
          <w:rFonts w:ascii="Arial" w:eastAsia="Arial" w:hAnsi="Arial" w:cs="Arial"/>
          <w:sz w:val="20"/>
          <w:szCs w:val="20"/>
        </w:rPr>
        <w:t xml:space="preserve"> diretos causados à Administração decorrentes de culpa ou dolo durante a execução do contrato;</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multas</w:t>
      </w:r>
      <w:proofErr w:type="gramEnd"/>
      <w:r>
        <w:rPr>
          <w:rFonts w:ascii="Arial" w:eastAsia="Arial" w:hAnsi="Arial" w:cs="Arial"/>
          <w:sz w:val="20"/>
          <w:szCs w:val="20"/>
        </w:rPr>
        <w:t xml:space="preserve"> moratórias e punitivas aplicadas pela Administração à contratada; e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proofErr w:type="gramStart"/>
      <w:r>
        <w:rPr>
          <w:rFonts w:ascii="Arial" w:eastAsia="Arial" w:hAnsi="Arial" w:cs="Arial"/>
          <w:sz w:val="20"/>
          <w:szCs w:val="20"/>
        </w:rPr>
        <w:t>obrigações</w:t>
      </w:r>
      <w:proofErr w:type="gramEnd"/>
      <w:r>
        <w:rPr>
          <w:rFonts w:ascii="Arial" w:eastAsia="Arial" w:hAnsi="Arial" w:cs="Arial"/>
          <w:sz w:val="20"/>
          <w:szCs w:val="20"/>
        </w:rPr>
        <w:t xml:space="preserve"> trabalhistas e previdenciárias de qualquer natureza e para com o FGTS, não adimplidas pela contratada, quando couber.</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modalidade seguro-garantia somente será aceita se contemplar todos os eventos indicados no item anterior, observada a legislação que rege a matéria.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garantia em dinheiro deverá ser efetuada em favor da Contratante, em conta específica na Caixa Econômica Federal, com correção monetária.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Caso a opção seja por utilizar títulos da dívida pública, estes devem ter sido emitidos sob a forma escritural, mediante registro em sistema centralizado de liquidação e de custódia autorizado pelo Banco Central do Brasil, e avaliados pelos seus valores econômicos, conforme definido pelo Ministério da Fazenda.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No caso de garantia na modalidade de fiança bancária, deverá constar expressa renúncia do fiador aos benefícios do artigo 827 do Código Civil.</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No caso de alteração do valor do contrato, ou prorrogação de sua vigência, a garantia deverá ser ajustada à nova situação ou renovada, seguindo os mesmos parâmetros utilizados quando da contratação.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lastRenderedPageBreak/>
        <w:t>Se o valor da garantia for utilizado total ou parcialmente em pagamento de qualquer obrigação, a Contratada obriga-se a fazer a respectiva reposição no prazo máximo de 30 (trinta) dias úteis, contados da data em que for notificada.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Contratante executará a garantia na forma prevista na legislação que rege a matéria.</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Será considerada extinta a garantia: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 </w:t>
      </w:r>
      <w:proofErr w:type="gramStart"/>
      <w:r>
        <w:rPr>
          <w:rFonts w:ascii="Arial" w:eastAsia="Arial" w:hAnsi="Arial" w:cs="Arial"/>
          <w:sz w:val="20"/>
          <w:szCs w:val="20"/>
        </w:rPr>
        <w:t>com</w:t>
      </w:r>
      <w:proofErr w:type="gramEnd"/>
      <w:r>
        <w:rPr>
          <w:rFonts w:ascii="Arial" w:eastAsia="Arial" w:hAnsi="Arial" w:cs="Arial"/>
          <w:sz w:val="2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 </w:t>
      </w:r>
    </w:p>
    <w:p w:rsidR="00186A14" w:rsidRDefault="005A6ED7">
      <w:pPr>
        <w:numPr>
          <w:ilvl w:val="2"/>
          <w:numId w:val="8"/>
        </w:numPr>
        <w:tabs>
          <w:tab w:val="left" w:pos="1440"/>
        </w:tabs>
        <w:spacing w:before="120" w:after="120" w:line="276" w:lineRule="auto"/>
        <w:ind w:left="1134" w:firstLine="0"/>
        <w:jc w:val="both"/>
        <w:rPr>
          <w:rFonts w:ascii="Arial" w:eastAsia="Arial" w:hAnsi="Arial" w:cs="Arial"/>
          <w:sz w:val="20"/>
          <w:szCs w:val="20"/>
        </w:rPr>
      </w:pPr>
      <w:r>
        <w:rPr>
          <w:rFonts w:ascii="Arial" w:eastAsia="Arial" w:hAnsi="Arial" w:cs="Arial"/>
          <w:sz w:val="20"/>
          <w:szCs w:val="20"/>
        </w:rPr>
        <w:t xml:space="preserve"> </w:t>
      </w:r>
      <w:proofErr w:type="gramStart"/>
      <w:r>
        <w:rPr>
          <w:rFonts w:ascii="Arial" w:eastAsia="Arial" w:hAnsi="Arial" w:cs="Arial"/>
          <w:sz w:val="20"/>
          <w:szCs w:val="20"/>
        </w:rPr>
        <w:t>no</w:t>
      </w:r>
      <w:proofErr w:type="gramEnd"/>
      <w:r>
        <w:rPr>
          <w:rFonts w:ascii="Arial" w:eastAsia="Arial" w:hAnsi="Arial" w:cs="Arial"/>
          <w:sz w:val="20"/>
          <w:szCs w:val="20"/>
        </w:rPr>
        <w:t xml:space="preserve"> prazo de 90 (noventa) dias após o término da vigência do contrato, caso a Administração não comunique a ocorrência de sinistros, quando o prazo será ampliado, nos termos da comunicação, conforme estabelecido na alínea "h2"do item 3.1 do Anexo  VII-F da IN SEGES/MP n. 05/2017.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 xml:space="preserve">O garantidor não é parte para figurar em processo administrativo instaurado pela contratante com o objetivo de apurar prejuízos e/ou aplicar sanções à contratada. </w:t>
      </w:r>
    </w:p>
    <w:p w:rsidR="00186A14" w:rsidRDefault="005A6ED7">
      <w:pPr>
        <w:numPr>
          <w:ilvl w:val="1"/>
          <w:numId w:val="8"/>
        </w:numPr>
        <w:spacing w:before="120" w:after="120" w:line="276" w:lineRule="auto"/>
        <w:ind w:left="425" w:firstLine="0"/>
        <w:jc w:val="both"/>
        <w:rPr>
          <w:rFonts w:ascii="Arial" w:eastAsia="Arial" w:hAnsi="Arial" w:cs="Arial"/>
          <w:sz w:val="20"/>
          <w:szCs w:val="20"/>
        </w:rPr>
      </w:pPr>
      <w:r>
        <w:rPr>
          <w:rFonts w:ascii="Arial" w:eastAsia="Arial" w:hAnsi="Arial" w:cs="Arial"/>
          <w:sz w:val="20"/>
          <w:szCs w:val="20"/>
        </w:rPr>
        <w:t>A contratada autoriza a contratante a reter, a qualquer tempo, a garantia, na forma prevista no neste Edital e no Contrato.</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SANÇÕES ADMINISTRATIVAS</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Comete infração administrativa, nos termos da</w:t>
      </w:r>
      <w:r>
        <w:rPr>
          <w:rFonts w:ascii="Arial" w:eastAsia="Arial" w:hAnsi="Arial" w:cs="Arial"/>
          <w:color w:val="000000"/>
          <w:sz w:val="20"/>
          <w:szCs w:val="20"/>
        </w:rPr>
        <w:t xml:space="preserve"> Lei nº 8.666, de 1993, </w:t>
      </w:r>
      <w:r>
        <w:rPr>
          <w:rFonts w:ascii="Arial" w:eastAsia="Arial" w:hAnsi="Arial" w:cs="Arial"/>
          <w:sz w:val="20"/>
          <w:szCs w:val="20"/>
        </w:rPr>
        <w:t>a CONTRATADA que:</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spellStart"/>
      <w:proofErr w:type="gramStart"/>
      <w:r>
        <w:rPr>
          <w:rFonts w:ascii="Arial" w:eastAsia="Arial" w:hAnsi="Arial" w:cs="Arial"/>
          <w:color w:val="000000"/>
          <w:sz w:val="20"/>
          <w:szCs w:val="20"/>
        </w:rPr>
        <w:t>inexecutar</w:t>
      </w:r>
      <w:proofErr w:type="spellEnd"/>
      <w:proofErr w:type="gramEnd"/>
      <w:r>
        <w:rPr>
          <w:rFonts w:ascii="Arial" w:eastAsia="Arial" w:hAnsi="Arial" w:cs="Arial"/>
          <w:color w:val="000000"/>
          <w:sz w:val="20"/>
          <w:szCs w:val="20"/>
        </w:rPr>
        <w:t xml:space="preserve"> total ou parcialmente qualquer das obrigações assumidas em decorrência da contratação;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ensejar</w:t>
      </w:r>
      <w:proofErr w:type="gramEnd"/>
      <w:r>
        <w:rPr>
          <w:rFonts w:ascii="Arial" w:eastAsia="Arial" w:hAnsi="Arial" w:cs="Arial"/>
          <w:color w:val="000000"/>
          <w:sz w:val="20"/>
          <w:szCs w:val="20"/>
        </w:rPr>
        <w:t xml:space="preserve"> o retardamento da execução do objeto;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falhar</w:t>
      </w:r>
      <w:proofErr w:type="gramEnd"/>
      <w:r>
        <w:rPr>
          <w:rFonts w:ascii="Arial" w:eastAsia="Arial" w:hAnsi="Arial" w:cs="Arial"/>
          <w:color w:val="000000"/>
          <w:sz w:val="20"/>
          <w:szCs w:val="20"/>
        </w:rPr>
        <w:t xml:space="preserve"> ou fraudar na execução do contrato;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comportar</w:t>
      </w:r>
      <w:proofErr w:type="gramEnd"/>
      <w:r>
        <w:rPr>
          <w:rFonts w:ascii="Arial" w:eastAsia="Arial" w:hAnsi="Arial" w:cs="Arial"/>
          <w:color w:val="000000"/>
          <w:sz w:val="20"/>
          <w:szCs w:val="20"/>
        </w:rPr>
        <w:t>-se de modo inidôneo; ou</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proofErr w:type="gramStart"/>
      <w:r>
        <w:rPr>
          <w:rFonts w:ascii="Arial" w:eastAsia="Arial" w:hAnsi="Arial" w:cs="Arial"/>
          <w:color w:val="000000"/>
          <w:sz w:val="20"/>
          <w:szCs w:val="20"/>
        </w:rPr>
        <w:t>cometer</w:t>
      </w:r>
      <w:proofErr w:type="gramEnd"/>
      <w:r>
        <w:rPr>
          <w:rFonts w:ascii="Arial" w:eastAsia="Arial" w:hAnsi="Arial" w:cs="Arial"/>
          <w:color w:val="000000"/>
          <w:sz w:val="20"/>
          <w:szCs w:val="20"/>
        </w:rPr>
        <w:t xml:space="preserve"> fraude fiscal.</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 xml:space="preserve">Pela inexecução </w:t>
      </w:r>
      <w:r>
        <w:rPr>
          <w:rFonts w:ascii="Arial" w:eastAsia="Arial" w:hAnsi="Arial" w:cs="Arial"/>
          <w:sz w:val="20"/>
          <w:szCs w:val="20"/>
          <w:u w:val="single"/>
        </w:rPr>
        <w:t>total ou parcial</w:t>
      </w:r>
      <w:r>
        <w:rPr>
          <w:rFonts w:ascii="Arial" w:eastAsia="Arial" w:hAnsi="Arial" w:cs="Arial"/>
          <w:sz w:val="20"/>
          <w:szCs w:val="20"/>
        </w:rPr>
        <w:t xml:space="preserve"> do objeto deste contrato, a Administração pode aplicar à CONTRATADA as seguintes sanções:</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b/>
          <w:color w:val="000000"/>
          <w:sz w:val="20"/>
          <w:szCs w:val="20"/>
        </w:rPr>
        <w:t>Advertência por escrito</w:t>
      </w:r>
      <w:r>
        <w:rPr>
          <w:rFonts w:ascii="Arial" w:eastAsia="Arial" w:hAnsi="Arial" w:cs="Arial"/>
          <w:color w:val="000000"/>
          <w:sz w:val="20"/>
          <w:szCs w:val="20"/>
        </w:rPr>
        <w:t>, quando do não cumprimento de quaisquer das obrigações contratuais consideradas faltas leves, assim entendidas aquelas que não acarretam prejuízos significativos para o serviço contratado;</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b/>
          <w:color w:val="000000"/>
          <w:sz w:val="20"/>
          <w:szCs w:val="20"/>
        </w:rPr>
        <w:t>Multa de</w:t>
      </w:r>
      <w:r>
        <w:rPr>
          <w:rFonts w:ascii="Arial" w:eastAsia="Arial" w:hAnsi="Arial" w:cs="Arial"/>
          <w:color w:val="000000"/>
          <w:sz w:val="20"/>
          <w:szCs w:val="20"/>
        </w:rPr>
        <w:t xml:space="preserve">: </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 xml:space="preserve">0,1% (um décimo por cento) até 0,2% (dois décimos por cento) por dia sobre o valor adjudicado em caso de atraso na execução dos serviços, limitada a incidência a 15 (quinze) dias. Após o décimo quinto dia e a critério da Administração, no caso de execução com atraso, poderá ocorrer a não-aceitação do objeto, de forma a </w:t>
      </w:r>
      <w:r>
        <w:rPr>
          <w:rFonts w:ascii="Arial" w:eastAsia="Arial" w:hAnsi="Arial" w:cs="Arial"/>
          <w:color w:val="000000"/>
          <w:sz w:val="20"/>
          <w:szCs w:val="20"/>
        </w:rPr>
        <w:lastRenderedPageBreak/>
        <w:t xml:space="preserve">configurar, nessa hipótese, inexecução total da obrigação assumida, sem prejuízo da rescisão unilateral da avença; </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0,1% (um décimo por cento) até 10% (dez por cento) sobre o valor adjudicado, em caso de atraso na execução do objeto, por período superior ao previsto no subitem acima, ou de inexecução parcial da obrigação assumida;</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0,1% (um décimo por cento) até 15% (quinze por cento) sobre o valor adjudicado, em caso de inexecução total da obrigação assumida;</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 xml:space="preserve">0,2% a 3,2% por dia sobre o valor da etapa em que se encontra o contrato, conforme detalhamento constante das </w:t>
      </w:r>
      <w:r>
        <w:rPr>
          <w:rFonts w:ascii="Arial" w:eastAsia="Arial" w:hAnsi="Arial" w:cs="Arial"/>
          <w:b/>
          <w:color w:val="000000"/>
          <w:sz w:val="20"/>
          <w:szCs w:val="20"/>
        </w:rPr>
        <w:t>tabelas 1 e 2</w:t>
      </w:r>
      <w:r>
        <w:rPr>
          <w:rFonts w:ascii="Arial" w:eastAsia="Arial" w:hAnsi="Arial" w:cs="Arial"/>
          <w:color w:val="000000"/>
          <w:sz w:val="20"/>
          <w:szCs w:val="20"/>
        </w:rPr>
        <w:t>, abaixo; e</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r>
        <w:rPr>
          <w:rFonts w:ascii="Arial" w:eastAsia="Arial" w:hAnsi="Arial" w:cs="Arial"/>
          <w:color w:val="000000"/>
          <w:sz w:val="20"/>
          <w:szCs w:val="20"/>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186A14" w:rsidRDefault="005A6ED7">
      <w:pPr>
        <w:numPr>
          <w:ilvl w:val="3"/>
          <w:numId w:val="11"/>
        </w:numPr>
        <w:pBdr>
          <w:top w:val="nil"/>
          <w:left w:val="nil"/>
          <w:bottom w:val="nil"/>
          <w:right w:val="nil"/>
          <w:between w:val="nil"/>
        </w:pBdr>
        <w:spacing w:before="120" w:after="120" w:line="276" w:lineRule="auto"/>
        <w:ind w:right="-30" w:hanging="648"/>
        <w:jc w:val="both"/>
        <w:rPr>
          <w:rFonts w:ascii="Arial" w:eastAsia="Arial" w:hAnsi="Arial" w:cs="Arial"/>
          <w:color w:val="000000"/>
          <w:sz w:val="20"/>
          <w:szCs w:val="20"/>
        </w:rPr>
      </w:pPr>
      <w:proofErr w:type="gramStart"/>
      <w:r>
        <w:rPr>
          <w:rFonts w:ascii="Arial" w:eastAsia="Arial" w:hAnsi="Arial" w:cs="Arial"/>
          <w:color w:val="000000"/>
          <w:sz w:val="20"/>
          <w:szCs w:val="20"/>
        </w:rPr>
        <w:t>as</w:t>
      </w:r>
      <w:proofErr w:type="gramEnd"/>
      <w:r>
        <w:rPr>
          <w:rFonts w:ascii="Arial" w:eastAsia="Arial" w:hAnsi="Arial" w:cs="Arial"/>
          <w:color w:val="000000"/>
          <w:sz w:val="20"/>
          <w:szCs w:val="20"/>
        </w:rPr>
        <w:t xml:space="preserve"> penalidades de multa decorrentes de fatos diversos serão consideradas independentes entre si.</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Suspensão de licitar e impedimento de contratar com o órgão, entidade ou unidade administrativa pela qual a Administração Pública opera e atua concretamente, pelo prazo de até dois anos;</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sanções previstas nos subitens 19.2.1, 19.2.3 e 19.2.4 poderão ser aplicadas à CONTRATADA juntamente com as de multa, descontando-a dos pagamentos a serem efetuados.</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Para efeito de aplicação de multas, às infrações são atribuídos graus, de acordo com as tabelas 1 e 2:</w:t>
      </w:r>
    </w:p>
    <w:p w:rsidR="00186A14" w:rsidRDefault="005A6ED7">
      <w:pPr>
        <w:spacing w:before="120" w:after="120" w:line="276" w:lineRule="auto"/>
        <w:ind w:right="-30"/>
        <w:jc w:val="center"/>
        <w:rPr>
          <w:rFonts w:ascii="Arial" w:eastAsia="Arial" w:hAnsi="Arial" w:cs="Arial"/>
          <w:b/>
          <w:sz w:val="20"/>
          <w:szCs w:val="20"/>
        </w:rPr>
      </w:pPr>
      <w:r>
        <w:rPr>
          <w:rFonts w:ascii="Arial" w:eastAsia="Arial" w:hAnsi="Arial" w:cs="Arial"/>
          <w:b/>
          <w:sz w:val="20"/>
          <w:szCs w:val="20"/>
        </w:rPr>
        <w:t>Tabela 1</w:t>
      </w:r>
    </w:p>
    <w:tbl>
      <w:tblPr>
        <w:tblStyle w:val="a1"/>
        <w:tblW w:w="9180" w:type="dxa"/>
        <w:tblInd w:w="90" w:type="dxa"/>
        <w:tblBorders>
          <w:top w:val="single" w:sz="6" w:space="0" w:color="000000"/>
          <w:left w:val="single" w:sz="6" w:space="0" w:color="000000"/>
          <w:bottom w:val="single" w:sz="6" w:space="0" w:color="000000"/>
          <w:right w:val="single" w:sz="6" w:space="0" w:color="000000"/>
        </w:tblBorders>
        <w:tblLayout w:type="fixed"/>
        <w:tblLook w:val="0000" w:firstRow="0" w:lastRow="0" w:firstColumn="0" w:lastColumn="0" w:noHBand="0" w:noVBand="0"/>
      </w:tblPr>
      <w:tblGrid>
        <w:gridCol w:w="3576"/>
        <w:gridCol w:w="5604"/>
      </w:tblGrid>
      <w:tr w:rsidR="00186A14">
        <w:trPr>
          <w:trHeight w:val="180"/>
        </w:trPr>
        <w:tc>
          <w:tcPr>
            <w:tcW w:w="3576"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GRAU</w:t>
            </w:r>
          </w:p>
        </w:tc>
        <w:tc>
          <w:tcPr>
            <w:tcW w:w="5604"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CORRESPONDÊNCIA</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2</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0,4%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0,8%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4</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1,6% ao dia sobre o valor da etapa em que se encontra o contrato</w:t>
            </w:r>
          </w:p>
        </w:tc>
      </w:tr>
      <w:tr w:rsidR="00186A14">
        <w:tc>
          <w:tcPr>
            <w:tcW w:w="3576" w:type="dxa"/>
            <w:tcBorders>
              <w:top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5</w:t>
            </w:r>
          </w:p>
        </w:tc>
        <w:tc>
          <w:tcPr>
            <w:tcW w:w="5604" w:type="dxa"/>
            <w:tcBorders>
              <w:top w:val="single" w:sz="6" w:space="0" w:color="000000"/>
              <w:left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3,2% ao dia sobre o valor da etapa em que se encontra o contrato</w:t>
            </w:r>
          </w:p>
        </w:tc>
      </w:tr>
    </w:tbl>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Tabela 2</w:t>
      </w:r>
    </w:p>
    <w:tbl>
      <w:tblPr>
        <w:tblStyle w:val="a2"/>
        <w:tblW w:w="9180" w:type="dxa"/>
        <w:tblInd w:w="90" w:type="dxa"/>
        <w:tblBorders>
          <w:top w:val="single" w:sz="6" w:space="0" w:color="000000"/>
          <w:left w:val="single" w:sz="6" w:space="0" w:color="000000"/>
          <w:bottom w:val="single" w:sz="6" w:space="0" w:color="000000"/>
          <w:right w:val="single" w:sz="6" w:space="0" w:color="000000"/>
        </w:tblBorders>
        <w:tblLayout w:type="fixed"/>
        <w:tblLook w:val="0000" w:firstRow="0" w:lastRow="0" w:firstColumn="0" w:lastColumn="0" w:noHBand="0" w:noVBand="0"/>
      </w:tblPr>
      <w:tblGrid>
        <w:gridCol w:w="2239"/>
        <w:gridCol w:w="4983"/>
        <w:gridCol w:w="1958"/>
      </w:tblGrid>
      <w:tr w:rsidR="00186A14">
        <w:trPr>
          <w:trHeight w:val="60"/>
        </w:trPr>
        <w:tc>
          <w:tcPr>
            <w:tcW w:w="9180" w:type="dxa"/>
            <w:gridSpan w:val="3"/>
            <w:tcBorders>
              <w:top w:val="single" w:sz="6" w:space="0" w:color="000000"/>
              <w:bottom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INFRAÇÃO</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ITEM</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DESCRIÇÃO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GRAU</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1</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 xml:space="preserve">Permitir situação que crie a possibilidade de causar dano físico, lesão corporal ou </w:t>
            </w:r>
            <w:proofErr w:type="spellStart"/>
            <w:r>
              <w:rPr>
                <w:rFonts w:ascii="Arial" w:eastAsia="Arial" w:hAnsi="Arial" w:cs="Arial"/>
                <w:sz w:val="20"/>
                <w:szCs w:val="20"/>
              </w:rPr>
              <w:t>conseqüências</w:t>
            </w:r>
            <w:proofErr w:type="spellEnd"/>
            <w:r>
              <w:rPr>
                <w:rFonts w:ascii="Arial" w:eastAsia="Arial" w:hAnsi="Arial" w:cs="Arial"/>
                <w:sz w:val="20"/>
                <w:szCs w:val="20"/>
              </w:rPr>
              <w:t xml:space="preserve"> letais,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05</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2</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Suspender ou interromper, salvo motivo de força maior ou caso fortuito, os serviços contratuais por dia e por unidade de atendimento;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04</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3</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Manter funcionário sem qualificação para executar os serviços contratados, por empregado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03</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4</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Recusar-se a executar serviço determinado pela fiscalização, por serviço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w:t>
            </w:r>
          </w:p>
        </w:tc>
      </w:tr>
      <w:tr w:rsidR="00186A14">
        <w:trPr>
          <w:trHeight w:val="225"/>
        </w:trPr>
        <w:tc>
          <w:tcPr>
            <w:tcW w:w="9180" w:type="dxa"/>
            <w:gridSpan w:val="3"/>
            <w:tcBorders>
              <w:top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b/>
                <w:sz w:val="20"/>
                <w:szCs w:val="20"/>
              </w:rPr>
              <w:t>Para os itens a seguir, deixar de:</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7</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Cumprir determinação formal ou instrução complementar do órgão fiscalizador,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02</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8</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Substituir empregado que se conduza de modo inconveniente ou não atenda às necessidades do serviço, por funcionário e por dia;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01</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9</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 xml:space="preserve">Cumprir quaisquer dos itens do Edital e seus Anexos não previstos nesta tabela de multas, após </w:t>
            </w:r>
            <w:r>
              <w:rPr>
                <w:rFonts w:ascii="Arial" w:eastAsia="Arial" w:hAnsi="Arial" w:cs="Arial"/>
                <w:sz w:val="20"/>
                <w:szCs w:val="20"/>
              </w:rPr>
              <w:lastRenderedPageBreak/>
              <w:t>reincidência formalmente notificada pelo órgão fiscalizador, por item e por ocorrência;</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03</w:t>
            </w:r>
          </w:p>
        </w:tc>
      </w:tr>
      <w:tr w:rsidR="00186A14">
        <w:tc>
          <w:tcPr>
            <w:tcW w:w="2239" w:type="dxa"/>
            <w:tcBorders>
              <w:top w:val="single" w:sz="6" w:space="0" w:color="000000"/>
              <w:bottom w:val="single" w:sz="6" w:space="0" w:color="000000"/>
              <w:right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lastRenderedPageBreak/>
              <w:t>10</w:t>
            </w:r>
          </w:p>
        </w:tc>
        <w:tc>
          <w:tcPr>
            <w:tcW w:w="4983" w:type="dxa"/>
            <w:tcBorders>
              <w:top w:val="single" w:sz="6" w:space="0" w:color="000000"/>
              <w:left w:val="single" w:sz="6" w:space="0" w:color="000000"/>
              <w:bottom w:val="single" w:sz="6" w:space="0" w:color="000000"/>
              <w:right w:val="single" w:sz="6" w:space="0" w:color="000000"/>
            </w:tcBorders>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Indicar e manter durante a execução do contrato os prepostos previstos no edital/contrato;</w:t>
            </w:r>
          </w:p>
        </w:tc>
        <w:tc>
          <w:tcPr>
            <w:tcW w:w="1958" w:type="dxa"/>
            <w:tcBorders>
              <w:top w:val="single" w:sz="6" w:space="0" w:color="000000"/>
              <w:left w:val="single" w:sz="6" w:space="0" w:color="000000"/>
              <w:bottom w:val="single" w:sz="6" w:space="0" w:color="000000"/>
            </w:tcBorders>
            <w:vAlign w:val="center"/>
          </w:tcPr>
          <w:p w:rsidR="00186A14" w:rsidRDefault="005A6ED7">
            <w:pPr>
              <w:spacing w:before="120" w:after="120" w:line="276" w:lineRule="auto"/>
              <w:ind w:right="-30"/>
              <w:jc w:val="center"/>
              <w:rPr>
                <w:rFonts w:ascii="Arial" w:eastAsia="Arial" w:hAnsi="Arial" w:cs="Arial"/>
                <w:sz w:val="20"/>
                <w:szCs w:val="20"/>
              </w:rPr>
            </w:pPr>
            <w:r>
              <w:rPr>
                <w:rFonts w:ascii="Arial" w:eastAsia="Arial" w:hAnsi="Arial" w:cs="Arial"/>
                <w:sz w:val="20"/>
                <w:szCs w:val="20"/>
              </w:rPr>
              <w:t>01</w:t>
            </w:r>
          </w:p>
        </w:tc>
      </w:tr>
    </w:tbl>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Também ficam sujeitas às penalidades do art. 87, III e IV da Lei nº 8.666, de 1993, as empresas ou profissionais que:</w:t>
      </w:r>
    </w:p>
    <w:p w:rsidR="00186A14" w:rsidRDefault="005A6ED7">
      <w:pPr>
        <w:numPr>
          <w:ilvl w:val="2"/>
          <w:numId w:val="11"/>
        </w:numPr>
        <w:spacing w:before="120" w:after="120" w:line="276" w:lineRule="auto"/>
        <w:ind w:right="-30"/>
        <w:jc w:val="both"/>
        <w:rPr>
          <w:rFonts w:ascii="Arial" w:eastAsia="Arial" w:hAnsi="Arial" w:cs="Arial"/>
          <w:sz w:val="20"/>
          <w:szCs w:val="20"/>
        </w:rPr>
      </w:pPr>
      <w:proofErr w:type="gramStart"/>
      <w:r>
        <w:rPr>
          <w:rFonts w:ascii="Arial" w:eastAsia="Arial" w:hAnsi="Arial" w:cs="Arial"/>
          <w:sz w:val="20"/>
          <w:szCs w:val="20"/>
        </w:rPr>
        <w:t>tenham</w:t>
      </w:r>
      <w:proofErr w:type="gramEnd"/>
      <w:r>
        <w:rPr>
          <w:rFonts w:ascii="Arial" w:eastAsia="Arial" w:hAnsi="Arial" w:cs="Arial"/>
          <w:sz w:val="20"/>
          <w:szCs w:val="20"/>
        </w:rPr>
        <w:t xml:space="preserve"> sofrido condenação definitiva por praticar, por meio dolosos, fraude fiscal no recolhimento de quaisquer tributos;</w:t>
      </w:r>
    </w:p>
    <w:p w:rsidR="00186A14" w:rsidRDefault="005A6ED7">
      <w:pPr>
        <w:numPr>
          <w:ilvl w:val="2"/>
          <w:numId w:val="11"/>
        </w:numPr>
        <w:spacing w:before="120" w:after="120" w:line="276" w:lineRule="auto"/>
        <w:ind w:right="-30"/>
        <w:jc w:val="both"/>
        <w:rPr>
          <w:rFonts w:ascii="Arial" w:eastAsia="Arial" w:hAnsi="Arial" w:cs="Arial"/>
          <w:sz w:val="20"/>
          <w:szCs w:val="20"/>
        </w:rPr>
      </w:pPr>
      <w:proofErr w:type="gramStart"/>
      <w:r>
        <w:rPr>
          <w:rFonts w:ascii="Arial" w:eastAsia="Arial" w:hAnsi="Arial" w:cs="Arial"/>
          <w:sz w:val="20"/>
          <w:szCs w:val="20"/>
        </w:rPr>
        <w:t>tenham</w:t>
      </w:r>
      <w:proofErr w:type="gramEnd"/>
      <w:r>
        <w:rPr>
          <w:rFonts w:ascii="Arial" w:eastAsia="Arial" w:hAnsi="Arial" w:cs="Arial"/>
          <w:sz w:val="20"/>
          <w:szCs w:val="20"/>
        </w:rPr>
        <w:t xml:space="preserve"> praticado atos ilícitos visando a frustrar os objetivos da licitação;</w:t>
      </w:r>
    </w:p>
    <w:p w:rsidR="00186A14" w:rsidRDefault="005A6ED7">
      <w:pPr>
        <w:numPr>
          <w:ilvl w:val="2"/>
          <w:numId w:val="11"/>
        </w:numPr>
        <w:spacing w:before="120" w:after="120" w:line="276" w:lineRule="auto"/>
        <w:ind w:right="-30"/>
        <w:jc w:val="both"/>
        <w:rPr>
          <w:rFonts w:ascii="Arial" w:eastAsia="Arial" w:hAnsi="Arial" w:cs="Arial"/>
          <w:sz w:val="20"/>
          <w:szCs w:val="20"/>
        </w:rPr>
      </w:pPr>
      <w:proofErr w:type="gramStart"/>
      <w:r>
        <w:rPr>
          <w:rFonts w:ascii="Arial" w:eastAsia="Arial" w:hAnsi="Arial" w:cs="Arial"/>
          <w:sz w:val="20"/>
          <w:szCs w:val="20"/>
        </w:rPr>
        <w:t>demonstrem</w:t>
      </w:r>
      <w:proofErr w:type="gramEnd"/>
      <w:r>
        <w:rPr>
          <w:rFonts w:ascii="Arial" w:eastAsia="Arial" w:hAnsi="Arial" w:cs="Arial"/>
          <w:sz w:val="20"/>
          <w:szCs w:val="20"/>
        </w:rPr>
        <w:t xml:space="preserve"> não possuir idoneidade para contratar com a Administração em virtude de atos ilícitos praticados. </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processamento do PAR não interfere no seguimento regular dos processos administrativos específicos para apuração da ocorrência de danos e prejuízos à Administração Pública Federal resultantes de ato lesivo cometido por pessoa jurídica, com ou sem a participação de agente público.</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 autoridade competente, na aplicação das sanções, levará em consideração a gravidade da conduta do infrator, o caráter educativo da pena, bem como o dano causado à Administração, observado o princípio da proporcionalidade.</w:t>
      </w:r>
    </w:p>
    <w:p w:rsidR="00186A14" w:rsidRDefault="005A6ED7">
      <w:pPr>
        <w:numPr>
          <w:ilvl w:val="2"/>
          <w:numId w:val="11"/>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Caso o valor da multa não seja suficiente para cobrir os prejuízos causados pela conduta do licitante, a União ou Entidade poderá cobrar o valor remanescente judicialmente, conforme artigo 419 do Código Civil.</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lastRenderedPageBreak/>
        <w:t>Caso a Contratante determine, a multa deverá ser recolhida no prazo máximo de 10 (dez) dias, a contar da data do recebimento da comunicação enviada pela autoridade competente.</w:t>
      </w:r>
    </w:p>
    <w:p w:rsidR="00186A14" w:rsidRDefault="005A6ED7">
      <w:pPr>
        <w:numPr>
          <w:ilvl w:val="1"/>
          <w:numId w:val="11"/>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penalidades serão obrigatoriamente registradas no SICAF.</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CRITÉRIOS DE SELEÇÃO DO FORNECEDOR.</w:t>
      </w:r>
    </w:p>
    <w:p w:rsidR="00186A14" w:rsidRDefault="00186A14">
      <w:pPr>
        <w:rPr>
          <w:rFonts w:ascii="Arial" w:eastAsia="Arial" w:hAnsi="Arial" w:cs="Arial"/>
          <w:sz w:val="20"/>
          <w:szCs w:val="20"/>
        </w:rPr>
      </w:pP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exigências de habilitação jurídica e de regularidade fiscal e trabalhista são as usuais para a generalidade dos objetos, conforme disciplinado no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Os critérios de qualificação econômica e qualificação técnica a serem atendidos pelo fornecedor estão previstos no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Os critérios de aceitabilidade de preços serão:</w:t>
      </w:r>
    </w:p>
    <w:p w:rsidR="00186A14" w:rsidRDefault="00276928">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Valor Global: R$ 365.491,29</w:t>
      </w:r>
      <w:r w:rsidR="005A6ED7">
        <w:rPr>
          <w:rFonts w:ascii="Arial" w:eastAsia="Arial" w:hAnsi="Arial" w:cs="Arial"/>
          <w:sz w:val="20"/>
          <w:szCs w:val="20"/>
        </w:rPr>
        <w:t xml:space="preserve"> (trezentos e </w:t>
      </w:r>
      <w:r>
        <w:rPr>
          <w:rFonts w:ascii="Arial" w:eastAsia="Arial" w:hAnsi="Arial" w:cs="Arial"/>
          <w:sz w:val="20"/>
          <w:szCs w:val="20"/>
        </w:rPr>
        <w:t>sessenta e cinco mil quatrocentos e noventa e um reais e vinte e nove centavos</w:t>
      </w:r>
      <w:r w:rsidR="005A6ED7">
        <w:rPr>
          <w:rFonts w:ascii="Arial" w:eastAsia="Arial" w:hAnsi="Arial" w:cs="Arial"/>
          <w:sz w:val="20"/>
          <w:szCs w:val="20"/>
        </w:rPr>
        <w:t>)</w:t>
      </w:r>
    </w:p>
    <w:p w:rsidR="00186A14" w:rsidRDefault="005A6ED7">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Valores unitários: conforme planilha de composição de preços anexa ao edital.</w:t>
      </w:r>
    </w:p>
    <w:p w:rsidR="00186A14" w:rsidRDefault="005A6ED7">
      <w:pPr>
        <w:numPr>
          <w:ilvl w:val="2"/>
          <w:numId w:val="12"/>
        </w:numPr>
        <w:spacing w:before="120" w:after="120" w:line="276" w:lineRule="auto"/>
        <w:ind w:right="-30"/>
        <w:jc w:val="both"/>
        <w:rPr>
          <w:rFonts w:ascii="Arial" w:eastAsia="Arial" w:hAnsi="Arial" w:cs="Arial"/>
        </w:rPr>
      </w:pPr>
      <w:r>
        <w:rPr>
          <w:rFonts w:ascii="Arial" w:eastAsia="Arial" w:hAnsi="Arial" w:cs="Arial"/>
          <w:sz w:val="20"/>
          <w:szCs w:val="20"/>
        </w:rPr>
        <w:t>Caso o Regime de Execução seja o de empreitada por preço global ou empreitada integral, será desclassificada a proposta ou lance vencedor nos quais se verifique que qualquer um dos seus custos unitários supera o correspondente custo unitário de referência fixado pela Administração, salvo se o preço de cada uma das etapas previstas no cronograma físico-financeiro não superar os valores de referência discriminados nos projetos anexos a este edital.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critério de julgamento da proposta é o menor preço global.</w:t>
      </w:r>
    </w:p>
    <w:p w:rsidR="00186A14" w:rsidRDefault="005A6ED7">
      <w:pPr>
        <w:numPr>
          <w:ilvl w:val="1"/>
          <w:numId w:val="12"/>
        </w:numPr>
        <w:spacing w:before="120" w:after="120" w:line="276" w:lineRule="auto"/>
        <w:ind w:right="-30"/>
        <w:jc w:val="both"/>
        <w:rPr>
          <w:rFonts w:ascii="Arial" w:eastAsia="Arial" w:hAnsi="Arial" w:cs="Arial"/>
          <w:sz w:val="20"/>
          <w:szCs w:val="20"/>
        </w:rPr>
      </w:pPr>
      <w:r>
        <w:rPr>
          <w:rFonts w:ascii="Arial" w:eastAsia="Arial" w:hAnsi="Arial" w:cs="Arial"/>
          <w:sz w:val="20"/>
          <w:szCs w:val="20"/>
        </w:rPr>
        <w:t>As regras de desempate entre propostas são as discriminadas no edital.</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ESTIMATIVA DE PREÇOS E PREÇOS REFERENCIAIS.</w:t>
      </w:r>
    </w:p>
    <w:p w:rsidR="00186A14" w:rsidRDefault="005A6ED7">
      <w:pPr>
        <w:numPr>
          <w:ilvl w:val="1"/>
          <w:numId w:val="10"/>
        </w:numPr>
        <w:spacing w:before="120" w:after="120" w:line="276" w:lineRule="auto"/>
        <w:ind w:right="-30"/>
        <w:jc w:val="both"/>
        <w:rPr>
          <w:rFonts w:ascii="Arial" w:eastAsia="Arial" w:hAnsi="Arial" w:cs="Arial"/>
          <w:sz w:val="20"/>
          <w:szCs w:val="20"/>
        </w:rPr>
      </w:pPr>
      <w:r>
        <w:rPr>
          <w:rFonts w:ascii="Arial" w:eastAsia="Arial" w:hAnsi="Arial" w:cs="Arial"/>
          <w:sz w:val="20"/>
          <w:szCs w:val="20"/>
        </w:rPr>
        <w:t>O custo estimado da contratação é o previsto no valor global máximo.</w:t>
      </w:r>
    </w:p>
    <w:p w:rsidR="00186A14" w:rsidRDefault="005A6ED7">
      <w:pPr>
        <w:numPr>
          <w:ilvl w:val="1"/>
          <w:numId w:val="10"/>
        </w:numPr>
        <w:spacing w:before="120" w:after="120" w:line="276" w:lineRule="auto"/>
        <w:ind w:right="-30"/>
        <w:jc w:val="both"/>
        <w:rPr>
          <w:rFonts w:ascii="Arial" w:eastAsia="Arial" w:hAnsi="Arial" w:cs="Arial"/>
          <w:sz w:val="20"/>
          <w:szCs w:val="20"/>
        </w:rPr>
      </w:pPr>
      <w:r>
        <w:rPr>
          <w:rFonts w:ascii="Arial" w:eastAsia="Arial" w:hAnsi="Arial" w:cs="Arial"/>
          <w:sz w:val="20"/>
          <w:szCs w:val="20"/>
        </w:rPr>
        <w:t xml:space="preserve">Tal valor foi obtido a partir do Sistema Nacional de Pesquisa de Custos e Índices da Construção </w:t>
      </w:r>
      <w:proofErr w:type="gramStart"/>
      <w:r>
        <w:rPr>
          <w:rFonts w:ascii="Arial" w:eastAsia="Arial" w:hAnsi="Arial" w:cs="Arial"/>
          <w:sz w:val="20"/>
          <w:szCs w:val="20"/>
        </w:rPr>
        <w:t>Civil  -</w:t>
      </w:r>
      <w:proofErr w:type="gramEnd"/>
      <w:r>
        <w:rPr>
          <w:rFonts w:ascii="Arial" w:eastAsia="Arial" w:hAnsi="Arial" w:cs="Arial"/>
          <w:sz w:val="20"/>
          <w:szCs w:val="20"/>
        </w:rPr>
        <w:t xml:space="preserve"> SINAPI sem DESONERAÇÃO - RS - Julho 2020</w:t>
      </w:r>
    </w:p>
    <w:p w:rsidR="00186A14" w:rsidRDefault="005A6ED7">
      <w:pPr>
        <w:keepNext/>
        <w:keepLines/>
        <w:numPr>
          <w:ilvl w:val="0"/>
          <w:numId w:val="3"/>
        </w:numPr>
        <w:pBdr>
          <w:top w:val="nil"/>
          <w:left w:val="nil"/>
          <w:bottom w:val="nil"/>
          <w:right w:val="nil"/>
          <w:between w:val="nil"/>
        </w:pBdr>
        <w:spacing w:before="480"/>
        <w:jc w:val="both"/>
        <w:rPr>
          <w:rFonts w:ascii="Arial" w:eastAsia="Arial" w:hAnsi="Arial" w:cs="Arial"/>
          <w:b/>
          <w:color w:val="000000"/>
          <w:sz w:val="20"/>
          <w:szCs w:val="20"/>
        </w:rPr>
      </w:pPr>
      <w:r>
        <w:rPr>
          <w:rFonts w:ascii="Arial" w:eastAsia="Arial" w:hAnsi="Arial" w:cs="Arial"/>
          <w:b/>
          <w:color w:val="000000"/>
          <w:sz w:val="20"/>
          <w:szCs w:val="20"/>
        </w:rPr>
        <w:t>DOS RECURSOS ORÇAMENTÁRIOS.</w:t>
      </w:r>
    </w:p>
    <w:p w:rsidR="00186A14" w:rsidRDefault="005A6ED7">
      <w:pPr>
        <w:numPr>
          <w:ilvl w:val="1"/>
          <w:numId w:val="2"/>
        </w:numPr>
        <w:pBdr>
          <w:top w:val="nil"/>
          <w:left w:val="nil"/>
          <w:bottom w:val="nil"/>
          <w:right w:val="nil"/>
          <w:between w:val="nil"/>
        </w:pBdr>
        <w:spacing w:before="120" w:after="120" w:line="276" w:lineRule="auto"/>
        <w:ind w:right="-30"/>
        <w:jc w:val="both"/>
        <w:rPr>
          <w:rFonts w:ascii="Arial" w:eastAsia="Arial" w:hAnsi="Arial" w:cs="Arial"/>
          <w:color w:val="000000"/>
          <w:sz w:val="20"/>
          <w:szCs w:val="20"/>
        </w:rPr>
      </w:pPr>
      <w:r>
        <w:rPr>
          <w:rFonts w:ascii="Arial" w:eastAsia="Arial" w:hAnsi="Arial" w:cs="Arial"/>
          <w:color w:val="000000"/>
          <w:sz w:val="20"/>
          <w:szCs w:val="20"/>
        </w:rPr>
        <w:t>As despesas para atender a esta licitação estão programadas em dotação orçamentária própria, prevista no orçamento da União para o exercício de 2020, na classificação abaixo:</w:t>
      </w:r>
    </w:p>
    <w:p w:rsidR="00186A14" w:rsidRDefault="005A6ED7">
      <w:pPr>
        <w:tabs>
          <w:tab w:val="left" w:pos="1560"/>
        </w:tabs>
        <w:spacing w:before="120" w:after="120" w:line="276" w:lineRule="auto"/>
        <w:jc w:val="both"/>
        <w:rPr>
          <w:rFonts w:ascii="Arial" w:eastAsia="Arial" w:hAnsi="Arial" w:cs="Arial"/>
          <w:color w:val="000000"/>
          <w:sz w:val="20"/>
          <w:szCs w:val="20"/>
        </w:rPr>
      </w:pPr>
      <w:r>
        <w:rPr>
          <w:rFonts w:ascii="Arial" w:eastAsia="Arial" w:hAnsi="Arial" w:cs="Arial"/>
          <w:color w:val="000000"/>
          <w:sz w:val="20"/>
          <w:szCs w:val="20"/>
        </w:rPr>
        <w:t>Gestão/Unidade:  26420/158505</w:t>
      </w:r>
    </w:p>
    <w:p w:rsidR="00186A14" w:rsidRDefault="005A6ED7">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Fonte: 8100000000</w:t>
      </w:r>
    </w:p>
    <w:p w:rsidR="00186A14" w:rsidRDefault="005A6ED7">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Programa de Trabalho:</w:t>
      </w:r>
      <w:r w:rsidR="00FB2B4B">
        <w:rPr>
          <w:rFonts w:ascii="Arial" w:eastAsia="Arial" w:hAnsi="Arial" w:cs="Arial"/>
          <w:sz w:val="20"/>
          <w:szCs w:val="20"/>
        </w:rPr>
        <w:t xml:space="preserve"> </w:t>
      </w:r>
      <w:r w:rsidR="00FB2B4B">
        <w:rPr>
          <w:rFonts w:ascii="Arial" w:hAnsi="Arial" w:cs="Arial"/>
          <w:sz w:val="20"/>
          <w:lang w:eastAsia="en-US"/>
        </w:rPr>
        <w:t>170802</w:t>
      </w:r>
    </w:p>
    <w:p w:rsidR="00186A14" w:rsidRDefault="005A6ED7" w:rsidP="006E6DC5">
      <w:pPr>
        <w:tabs>
          <w:tab w:val="left" w:pos="1560"/>
        </w:tabs>
        <w:spacing w:before="120" w:after="120" w:line="276" w:lineRule="auto"/>
        <w:jc w:val="both"/>
        <w:rPr>
          <w:rFonts w:ascii="Arial" w:eastAsia="Arial" w:hAnsi="Arial" w:cs="Arial"/>
          <w:sz w:val="20"/>
          <w:szCs w:val="20"/>
        </w:rPr>
      </w:pPr>
      <w:r>
        <w:rPr>
          <w:rFonts w:ascii="Arial" w:eastAsia="Arial" w:hAnsi="Arial" w:cs="Arial"/>
          <w:sz w:val="20"/>
          <w:szCs w:val="20"/>
        </w:rPr>
        <w:t>Elemento de Despesa:</w:t>
      </w:r>
      <w:r w:rsidR="00FB2B4B">
        <w:rPr>
          <w:rFonts w:ascii="Arial" w:eastAsia="Arial" w:hAnsi="Arial" w:cs="Arial"/>
          <w:sz w:val="20"/>
          <w:szCs w:val="20"/>
        </w:rPr>
        <w:t xml:space="preserve"> 449051</w:t>
      </w:r>
      <w:bookmarkStart w:id="0" w:name="_GoBack"/>
      <w:bookmarkEnd w:id="0"/>
    </w:p>
    <w:p w:rsidR="003A56DF" w:rsidRDefault="003A56DF">
      <w:pPr>
        <w:tabs>
          <w:tab w:val="left" w:pos="567"/>
          <w:tab w:val="left" w:pos="1134"/>
          <w:tab w:val="left" w:pos="1701"/>
          <w:tab w:val="left" w:pos="2268"/>
          <w:tab w:val="left" w:pos="2835"/>
        </w:tabs>
        <w:spacing w:before="120" w:after="120" w:line="276" w:lineRule="auto"/>
        <w:jc w:val="both"/>
        <w:rPr>
          <w:rFonts w:ascii="Arial" w:eastAsia="Arial" w:hAnsi="Arial" w:cs="Arial"/>
          <w:sz w:val="20"/>
          <w:szCs w:val="20"/>
        </w:rPr>
      </w:pPr>
    </w:p>
    <w:p w:rsidR="00186A14" w:rsidRDefault="005A6ED7">
      <w:pPr>
        <w:spacing w:after="120" w:line="276" w:lineRule="auto"/>
        <w:ind w:right="-15"/>
        <w:jc w:val="both"/>
        <w:rPr>
          <w:rFonts w:ascii="Arial" w:eastAsia="Arial" w:hAnsi="Arial" w:cs="Arial"/>
          <w:sz w:val="20"/>
          <w:szCs w:val="20"/>
        </w:rPr>
      </w:pPr>
      <w:r>
        <w:rPr>
          <w:rFonts w:ascii="Arial" w:eastAsia="Arial" w:hAnsi="Arial" w:cs="Arial"/>
          <w:sz w:val="20"/>
          <w:szCs w:val="20"/>
        </w:rPr>
        <w:t xml:space="preserve">Integram este Projeto Básico, para todos os fins e efeitos, os seguintes </w:t>
      </w:r>
      <w:r>
        <w:rPr>
          <w:rFonts w:ascii="Arial" w:eastAsia="Arial" w:hAnsi="Arial" w:cs="Arial"/>
          <w:b/>
          <w:sz w:val="20"/>
          <w:szCs w:val="20"/>
        </w:rPr>
        <w:t>Anexos</w:t>
      </w:r>
      <w:r>
        <w:rPr>
          <w:rFonts w:ascii="Arial" w:eastAsia="Arial" w:hAnsi="Arial" w:cs="Arial"/>
          <w:sz w:val="20"/>
          <w:szCs w:val="20"/>
        </w:rPr>
        <w:t>:</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A – Estudos Técnicos Preliminares</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B – Memorial Descritivo;</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Anexo C – Planilhas Orçamentárias, Cronograma Físico Financeiro e Composição de Custos Unitários;</w:t>
      </w:r>
    </w:p>
    <w:p w:rsidR="00186A14" w:rsidRDefault="005A6ED7">
      <w:pPr>
        <w:numPr>
          <w:ilvl w:val="0"/>
          <w:numId w:val="4"/>
        </w:numPr>
        <w:spacing w:after="120" w:line="276" w:lineRule="auto"/>
        <w:ind w:right="-15"/>
        <w:jc w:val="both"/>
        <w:rPr>
          <w:rFonts w:ascii="Arial" w:eastAsia="Arial" w:hAnsi="Arial" w:cs="Arial"/>
          <w:sz w:val="20"/>
          <w:szCs w:val="20"/>
        </w:rPr>
      </w:pPr>
      <w:r>
        <w:rPr>
          <w:rFonts w:ascii="Arial" w:eastAsia="Arial" w:hAnsi="Arial" w:cs="Arial"/>
          <w:sz w:val="20"/>
          <w:szCs w:val="20"/>
        </w:rPr>
        <w:t xml:space="preserve">Anexo </w:t>
      </w:r>
      <w:proofErr w:type="gramStart"/>
      <w:r>
        <w:rPr>
          <w:rFonts w:ascii="Arial" w:eastAsia="Arial" w:hAnsi="Arial" w:cs="Arial"/>
          <w:sz w:val="20"/>
          <w:szCs w:val="20"/>
        </w:rPr>
        <w:t>D  –</w:t>
      </w:r>
      <w:proofErr w:type="gramEnd"/>
      <w:r>
        <w:rPr>
          <w:rFonts w:ascii="Arial" w:eastAsia="Arial" w:hAnsi="Arial" w:cs="Arial"/>
          <w:sz w:val="20"/>
          <w:szCs w:val="20"/>
        </w:rPr>
        <w:t xml:space="preserve"> Projetos;</w:t>
      </w:r>
    </w:p>
    <w:p w:rsidR="00186A14" w:rsidRDefault="005A6ED7">
      <w:pPr>
        <w:numPr>
          <w:ilvl w:val="0"/>
          <w:numId w:val="6"/>
        </w:numPr>
        <w:spacing w:after="120" w:line="276" w:lineRule="auto"/>
        <w:ind w:right="-15"/>
        <w:jc w:val="both"/>
        <w:rPr>
          <w:rFonts w:ascii="Arial" w:eastAsia="Arial" w:hAnsi="Arial" w:cs="Arial"/>
          <w:sz w:val="20"/>
          <w:szCs w:val="20"/>
        </w:rPr>
      </w:pPr>
      <w:r>
        <w:rPr>
          <w:rFonts w:ascii="Arial" w:eastAsia="Arial" w:hAnsi="Arial" w:cs="Arial"/>
          <w:sz w:val="20"/>
          <w:szCs w:val="20"/>
        </w:rPr>
        <w:t>Anexo E - Documentos referentes à responsabilidade técnica (ART/RRT referentes à totalidade das peças técnicas produzidas por profissional habilitado, consoante previsão do art. 10 do Decreto n. 7983/2013).</w:t>
      </w:r>
    </w:p>
    <w:p w:rsidR="00186A14" w:rsidRDefault="00186A14">
      <w:pPr>
        <w:spacing w:after="120" w:line="276" w:lineRule="auto"/>
        <w:ind w:left="1080" w:right="-15"/>
        <w:jc w:val="both"/>
        <w:rPr>
          <w:rFonts w:ascii="Arial" w:eastAsia="Arial" w:hAnsi="Arial" w:cs="Arial"/>
          <w:sz w:val="20"/>
          <w:szCs w:val="20"/>
        </w:rPr>
      </w:pPr>
    </w:p>
    <w:p w:rsidR="00186A14" w:rsidRDefault="00276928">
      <w:pPr>
        <w:spacing w:after="120" w:line="276" w:lineRule="auto"/>
        <w:ind w:left="1080" w:right="-15"/>
        <w:jc w:val="both"/>
        <w:rPr>
          <w:rFonts w:ascii="Arial" w:eastAsia="Arial" w:hAnsi="Arial" w:cs="Arial"/>
          <w:sz w:val="20"/>
          <w:szCs w:val="20"/>
        </w:rPr>
      </w:pPr>
      <w:r>
        <w:rPr>
          <w:rFonts w:ascii="Arial" w:eastAsia="Arial" w:hAnsi="Arial" w:cs="Arial"/>
          <w:sz w:val="20"/>
          <w:szCs w:val="20"/>
        </w:rPr>
        <w:t>Panambi, 06</w:t>
      </w:r>
      <w:r w:rsidR="005A6ED7">
        <w:rPr>
          <w:rFonts w:ascii="Arial" w:eastAsia="Arial" w:hAnsi="Arial" w:cs="Arial"/>
          <w:sz w:val="20"/>
          <w:szCs w:val="20"/>
        </w:rPr>
        <w:t xml:space="preserve"> de </w:t>
      </w:r>
      <w:r>
        <w:rPr>
          <w:rFonts w:ascii="Arial" w:eastAsia="Arial" w:hAnsi="Arial" w:cs="Arial"/>
          <w:sz w:val="20"/>
          <w:szCs w:val="20"/>
        </w:rPr>
        <w:t>novem</w:t>
      </w:r>
      <w:r w:rsidR="005A6ED7">
        <w:rPr>
          <w:rFonts w:ascii="Arial" w:eastAsia="Arial" w:hAnsi="Arial" w:cs="Arial"/>
          <w:sz w:val="20"/>
          <w:szCs w:val="20"/>
        </w:rPr>
        <w:t xml:space="preserve">bro de 2020. </w:t>
      </w:r>
    </w:p>
    <w:p w:rsidR="00186A14" w:rsidRDefault="00186A14">
      <w:pPr>
        <w:spacing w:after="120" w:line="276" w:lineRule="auto"/>
        <w:ind w:left="360"/>
        <w:rPr>
          <w:rFonts w:ascii="Arial" w:eastAsia="Arial" w:hAnsi="Arial" w:cs="Arial"/>
          <w:sz w:val="20"/>
          <w:szCs w:val="20"/>
        </w:rPr>
      </w:pPr>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__________________________________</w:t>
      </w:r>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 xml:space="preserve">Verônica da Rosa </w:t>
      </w:r>
      <w:proofErr w:type="spellStart"/>
      <w:r>
        <w:rPr>
          <w:rFonts w:ascii="Arial" w:eastAsia="Arial" w:hAnsi="Arial" w:cs="Arial"/>
          <w:sz w:val="20"/>
          <w:szCs w:val="20"/>
        </w:rPr>
        <w:t>Olea</w:t>
      </w:r>
      <w:proofErr w:type="spellEnd"/>
    </w:p>
    <w:p w:rsidR="00186A14" w:rsidRDefault="005A6ED7">
      <w:pPr>
        <w:spacing w:after="120" w:line="276" w:lineRule="auto"/>
        <w:ind w:left="360"/>
        <w:jc w:val="center"/>
        <w:rPr>
          <w:rFonts w:ascii="Arial" w:eastAsia="Arial" w:hAnsi="Arial" w:cs="Arial"/>
          <w:sz w:val="20"/>
          <w:szCs w:val="20"/>
        </w:rPr>
      </w:pPr>
      <w:r>
        <w:rPr>
          <w:rFonts w:ascii="Arial" w:eastAsia="Arial" w:hAnsi="Arial" w:cs="Arial"/>
          <w:sz w:val="20"/>
          <w:szCs w:val="20"/>
        </w:rPr>
        <w:t>Engenheira Civil</w:t>
      </w: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jc w:val="center"/>
        <w:rPr>
          <w:rFonts w:ascii="Arial" w:eastAsia="Arial" w:hAnsi="Arial" w:cs="Arial"/>
          <w:sz w:val="20"/>
          <w:szCs w:val="20"/>
        </w:rPr>
      </w:pPr>
    </w:p>
    <w:p w:rsidR="00186A14" w:rsidRDefault="00186A14">
      <w:pPr>
        <w:spacing w:after="120" w:line="276" w:lineRule="auto"/>
        <w:ind w:left="360"/>
        <w:rPr>
          <w:rFonts w:ascii="Arial" w:eastAsia="Arial" w:hAnsi="Arial" w:cs="Arial"/>
          <w:sz w:val="20"/>
          <w:szCs w:val="20"/>
        </w:rPr>
      </w:pPr>
    </w:p>
    <w:p w:rsidR="00186A14" w:rsidRPr="003A56DF" w:rsidRDefault="005A6ED7">
      <w:pPr>
        <w:spacing w:after="120" w:line="276" w:lineRule="auto"/>
        <w:ind w:left="3540"/>
        <w:jc w:val="both"/>
        <w:rPr>
          <w:rFonts w:ascii="Arial" w:eastAsia="Arial" w:hAnsi="Arial" w:cs="Arial"/>
          <w:sz w:val="20"/>
          <w:szCs w:val="20"/>
        </w:rPr>
      </w:pPr>
      <w:r w:rsidRPr="003A56DF">
        <w:rPr>
          <w:rFonts w:ascii="Arial" w:eastAsia="Arial" w:hAnsi="Arial" w:cs="Arial"/>
          <w:sz w:val="20"/>
          <w:szCs w:val="20"/>
        </w:rPr>
        <w:t xml:space="preserve">      Declaro estar ciente e de acordo com o Projeto Básico.</w:t>
      </w: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186A14">
      <w:pPr>
        <w:spacing w:after="120" w:line="276" w:lineRule="auto"/>
        <w:jc w:val="center"/>
        <w:rPr>
          <w:rFonts w:ascii="Times New Roman" w:eastAsia="Times New Roman" w:hAnsi="Times New Roman" w:cs="Times New Roman"/>
          <w:b/>
          <w:color w:val="000000"/>
        </w:rPr>
      </w:pPr>
    </w:p>
    <w:p w:rsidR="00186A14" w:rsidRDefault="005A6ED7">
      <w:pPr>
        <w:jc w:val="center"/>
        <w:rPr>
          <w:rFonts w:ascii="Times New Roman" w:eastAsia="Times New Roman" w:hAnsi="Times New Roman" w:cs="Times New Roman"/>
          <w:color w:val="000000"/>
        </w:rPr>
      </w:pPr>
      <w:r>
        <w:rPr>
          <w:rFonts w:ascii="Times New Roman" w:eastAsia="Times New Roman" w:hAnsi="Times New Roman" w:cs="Times New Roman"/>
          <w:b/>
          <w:color w:val="000000"/>
        </w:rPr>
        <w:t xml:space="preserve">Alessandro </w:t>
      </w:r>
      <w:proofErr w:type="spellStart"/>
      <w:r>
        <w:rPr>
          <w:rFonts w:ascii="Times New Roman" w:eastAsia="Times New Roman" w:hAnsi="Times New Roman" w:cs="Times New Roman"/>
          <w:b/>
          <w:color w:val="000000"/>
        </w:rPr>
        <w:t>Callai</w:t>
      </w:r>
      <w:proofErr w:type="spellEnd"/>
      <w:r>
        <w:rPr>
          <w:rFonts w:ascii="Times New Roman" w:eastAsia="Times New Roman" w:hAnsi="Times New Roman" w:cs="Times New Roman"/>
          <w:b/>
          <w:color w:val="000000"/>
        </w:rPr>
        <w:t xml:space="preserve"> </w:t>
      </w:r>
      <w:proofErr w:type="spellStart"/>
      <w:r>
        <w:rPr>
          <w:rFonts w:ascii="Times New Roman" w:eastAsia="Times New Roman" w:hAnsi="Times New Roman" w:cs="Times New Roman"/>
          <w:b/>
          <w:color w:val="000000"/>
        </w:rPr>
        <w:t>Bazzan</w:t>
      </w:r>
      <w:proofErr w:type="spellEnd"/>
    </w:p>
    <w:p w:rsidR="00186A14" w:rsidRDefault="005A6ED7">
      <w:pPr>
        <w:tabs>
          <w:tab w:val="left" w:pos="3568"/>
          <w:tab w:val="center" w:pos="4252"/>
        </w:tabs>
        <w:rPr>
          <w:rFonts w:ascii="Times New Roman" w:eastAsia="Times New Roman" w:hAnsi="Times New Roman" w:cs="Times New Roman"/>
          <w:color w:val="000000"/>
        </w:rPr>
      </w:pPr>
      <w:r>
        <w:rPr>
          <w:rFonts w:ascii="Times New Roman" w:eastAsia="Times New Roman" w:hAnsi="Times New Roman" w:cs="Times New Roman"/>
          <w:color w:val="000000"/>
        </w:rPr>
        <w:tab/>
      </w:r>
      <w:r>
        <w:rPr>
          <w:rFonts w:ascii="Times New Roman" w:eastAsia="Times New Roman" w:hAnsi="Times New Roman" w:cs="Times New Roman"/>
          <w:color w:val="000000"/>
        </w:rPr>
        <w:tab/>
        <w:t>Diretor Geral</w:t>
      </w:r>
    </w:p>
    <w:p w:rsidR="00186A14" w:rsidRDefault="005A6ED7">
      <w:pPr>
        <w:jc w:val="center"/>
        <w:rPr>
          <w:rFonts w:ascii="Arial" w:eastAsia="Arial" w:hAnsi="Arial" w:cs="Arial"/>
          <w:color w:val="000000"/>
          <w:sz w:val="20"/>
          <w:szCs w:val="20"/>
        </w:rPr>
      </w:pPr>
      <w:r>
        <w:rPr>
          <w:rFonts w:ascii="Arial" w:eastAsia="Arial" w:hAnsi="Arial" w:cs="Arial"/>
          <w:color w:val="000000"/>
          <w:sz w:val="20"/>
          <w:szCs w:val="20"/>
        </w:rPr>
        <w:t>Portaria nº 1852/2016</w:t>
      </w:r>
    </w:p>
    <w:p w:rsidR="00186A14" w:rsidRDefault="005A6ED7">
      <w:pPr>
        <w:spacing w:after="120" w:line="276" w:lineRule="auto"/>
        <w:ind w:left="360"/>
        <w:jc w:val="center"/>
      </w:pPr>
      <w:bookmarkStart w:id="1" w:name="_heading=h.gjdgxs" w:colFirst="0" w:colLast="0"/>
      <w:bookmarkEnd w:id="1"/>
      <w:proofErr w:type="spellStart"/>
      <w:r>
        <w:rPr>
          <w:rFonts w:ascii="Times New Roman" w:eastAsia="Times New Roman" w:hAnsi="Times New Roman" w:cs="Times New Roman"/>
          <w:color w:val="000000"/>
        </w:rPr>
        <w:t>IFFar</w:t>
      </w:r>
      <w:proofErr w:type="spellEnd"/>
      <w:r>
        <w:rPr>
          <w:rFonts w:ascii="Times New Roman" w:eastAsia="Times New Roman" w:hAnsi="Times New Roman" w:cs="Times New Roman"/>
          <w:color w:val="000000"/>
        </w:rPr>
        <w:t xml:space="preserve"> Campus Panambi</w:t>
      </w:r>
    </w:p>
    <w:sectPr w:rsidR="00186A14">
      <w:headerReference w:type="default" r:id="rId8"/>
      <w:footerReference w:type="default" r:id="rId9"/>
      <w:pgSz w:w="11906" w:h="16838"/>
      <w:pgMar w:top="1418" w:right="1134" w:bottom="1418" w:left="1701" w:header="720" w:footer="1026"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2DE0" w:rsidRDefault="001A2DE0">
      <w:r>
        <w:separator/>
      </w:r>
    </w:p>
  </w:endnote>
  <w:endnote w:type="continuationSeparator" w:id="0">
    <w:p w:rsidR="001A2DE0" w:rsidRDefault="001A2DE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Ecofont_Spranq_eco_Sans">
    <w:altName w:val="Times New Roman"/>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penSymbol">
    <w:panose1 w:val="00000000000000000000"/>
    <w:charset w:val="00"/>
    <w:family w:val="roman"/>
    <w:notTrueType/>
    <w:pitch w:val="default"/>
  </w:font>
  <w:font w:name="Liberation Sans">
    <w:panose1 w:val="00000000000000000000"/>
    <w:charset w:val="00"/>
    <w:family w:val="roman"/>
    <w:notTrueType/>
    <w:pitch w:val="default"/>
  </w:font>
  <w:font w:name="WenQuanYi Micro Hei">
    <w:charset w:val="00"/>
    <w:family w:val="auto"/>
    <w:pitch w:val="variable"/>
  </w:font>
  <w:font w:name="Lohit Hindi">
    <w:altName w:val="Times New Roman"/>
    <w:charset w:val="00"/>
    <w:family w:val="auto"/>
    <w:pitch w:val="variable"/>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A14" w:rsidRDefault="005A6ED7">
    <w:pPr>
      <w:pBdr>
        <w:top w:val="nil"/>
        <w:left w:val="nil"/>
        <w:bottom w:val="nil"/>
        <w:right w:val="nil"/>
        <w:between w:val="nil"/>
      </w:pBdr>
      <w:tabs>
        <w:tab w:val="center" w:pos="4252"/>
        <w:tab w:val="right" w:pos="8504"/>
      </w:tabs>
      <w:jc w:val="right"/>
      <w:rPr>
        <w:rFonts w:cs="Ecofont_Spranq_eco_Sans"/>
        <w:color w:val="000000"/>
        <w:sz w:val="15"/>
        <w:szCs w:val="15"/>
      </w:rPr>
    </w:pPr>
    <w:r>
      <w:rPr>
        <w:rFonts w:cs="Ecofont_Spranq_eco_Sans"/>
        <w:color w:val="000000"/>
        <w:sz w:val="15"/>
        <w:szCs w:val="15"/>
      </w:rPr>
      <w:fldChar w:fldCharType="begin"/>
    </w:r>
    <w:r>
      <w:rPr>
        <w:rFonts w:cs="Ecofont_Spranq_eco_Sans"/>
        <w:color w:val="000000"/>
        <w:sz w:val="15"/>
        <w:szCs w:val="15"/>
      </w:rPr>
      <w:instrText>PAGE</w:instrText>
    </w:r>
    <w:r>
      <w:rPr>
        <w:rFonts w:cs="Ecofont_Spranq_eco_Sans"/>
        <w:color w:val="000000"/>
        <w:sz w:val="15"/>
        <w:szCs w:val="15"/>
      </w:rPr>
      <w:fldChar w:fldCharType="separate"/>
    </w:r>
    <w:r w:rsidR="006E6DC5">
      <w:rPr>
        <w:rFonts w:cs="Ecofont_Spranq_eco_Sans"/>
        <w:noProof/>
        <w:color w:val="000000"/>
        <w:sz w:val="15"/>
        <w:szCs w:val="15"/>
      </w:rPr>
      <w:t>26</w:t>
    </w:r>
    <w:r>
      <w:rPr>
        <w:rFonts w:cs="Ecofont_Spranq_eco_Sans"/>
        <w:color w:val="000000"/>
        <w:sz w:val="15"/>
        <w:szCs w:val="15"/>
      </w:rPr>
      <w:fldChar w:fldCharType="end"/>
    </w:r>
  </w:p>
  <w:p w:rsidR="00276928" w:rsidRDefault="00276928" w:rsidP="00276928">
    <w:pPr>
      <w:jc w:val="both"/>
      <w:rPr>
        <w:rFonts w:ascii="Arial" w:hAnsi="Arial"/>
        <w:sz w:val="16"/>
      </w:rPr>
    </w:pPr>
    <w:r>
      <w:rPr>
        <w:rFonts w:ascii="Arial" w:hAnsi="Arial"/>
        <w:sz w:val="16"/>
      </w:rPr>
      <w:t>____________________________________________________________________________________________</w:t>
    </w:r>
  </w:p>
  <w:p w:rsidR="00276928" w:rsidRDefault="00276928" w:rsidP="00276928">
    <w:pPr>
      <w:jc w:val="center"/>
      <w:rPr>
        <w:rFonts w:ascii="Arial" w:hAnsi="Arial"/>
        <w:sz w:val="16"/>
      </w:rPr>
    </w:pPr>
    <w:r>
      <w:rPr>
        <w:rFonts w:ascii="Arial" w:hAnsi="Arial"/>
        <w:sz w:val="16"/>
      </w:rPr>
      <w:t>Rua Erechim, 860 – 98280-000 – Planalto– Panambi – RS</w:t>
    </w:r>
  </w:p>
  <w:p w:rsidR="00276928" w:rsidRDefault="00276928" w:rsidP="00276928">
    <w:pPr>
      <w:jc w:val="center"/>
      <w:rPr>
        <w:rFonts w:ascii="Arial" w:hAnsi="Arial"/>
        <w:sz w:val="16"/>
      </w:rPr>
    </w:pPr>
    <w:r>
      <w:rPr>
        <w:rFonts w:ascii="Arial" w:hAnsi="Arial"/>
        <w:sz w:val="16"/>
      </w:rPr>
      <w:t>Fone/FAX: (55) 3376 8806</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2DE0" w:rsidRDefault="001A2DE0">
      <w:r>
        <w:separator/>
      </w:r>
    </w:p>
  </w:footnote>
  <w:footnote w:type="continuationSeparator" w:id="0">
    <w:p w:rsidR="001A2DE0" w:rsidRDefault="001A2DE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A14" w:rsidRDefault="005A6ED7">
    <w:pPr>
      <w:pBdr>
        <w:top w:val="nil"/>
        <w:left w:val="nil"/>
        <w:bottom w:val="nil"/>
        <w:right w:val="nil"/>
        <w:between w:val="nil"/>
      </w:pBdr>
      <w:spacing w:before="120" w:after="120" w:line="276" w:lineRule="auto"/>
      <w:jc w:val="center"/>
      <w:rPr>
        <w:rFonts w:ascii="Arial" w:eastAsia="Arial" w:hAnsi="Arial" w:cs="Arial"/>
        <w:b/>
        <w:i/>
        <w:color w:val="000000"/>
        <w:sz w:val="22"/>
        <w:szCs w:val="22"/>
      </w:rPr>
    </w:pPr>
    <w:r>
      <w:rPr>
        <w:rFonts w:cs="Ecofont_Spranq_eco_Sans"/>
        <w:i/>
        <w:noProof/>
        <w:color w:val="000000"/>
        <w:lang w:eastAsia="pt-BR"/>
      </w:rPr>
      <w:drawing>
        <wp:inline distT="0" distB="9525" distL="0" distR="0">
          <wp:extent cx="723900" cy="733425"/>
          <wp:effectExtent l="0" t="0" r="0" b="0"/>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23900" cy="733425"/>
                  </a:xfrm>
                  <a:prstGeom prst="rect">
                    <a:avLst/>
                  </a:prstGeom>
                  <a:ln/>
                </pic:spPr>
              </pic:pic>
            </a:graphicData>
          </a:graphic>
        </wp:inline>
      </w:drawing>
    </w:r>
  </w:p>
  <w:p w:rsidR="00186A14" w:rsidRDefault="005A6ED7">
    <w:pPr>
      <w:pBdr>
        <w:top w:val="nil"/>
        <w:left w:val="nil"/>
        <w:bottom w:val="nil"/>
        <w:right w:val="nil"/>
        <w:between w:val="nil"/>
      </w:pBdr>
      <w:spacing w:before="120" w:after="120" w:line="276" w:lineRule="auto"/>
      <w:jc w:val="center"/>
      <w:rPr>
        <w:rFonts w:ascii="Arial" w:eastAsia="Arial" w:hAnsi="Arial" w:cs="Arial"/>
        <w:b/>
        <w:i/>
        <w:color w:val="000000"/>
        <w:sz w:val="16"/>
        <w:szCs w:val="16"/>
      </w:rPr>
    </w:pPr>
    <w:r>
      <w:rPr>
        <w:rFonts w:ascii="Arial" w:eastAsia="Arial" w:hAnsi="Arial" w:cs="Arial"/>
        <w:b/>
        <w:i/>
        <w:color w:val="000000"/>
        <w:sz w:val="16"/>
        <w:szCs w:val="16"/>
      </w:rPr>
      <w:t>MINISTÉRIO DA EDUCAÇÃO</w:t>
    </w:r>
  </w:p>
  <w:p w:rsidR="00186A14" w:rsidRDefault="005A6ED7">
    <w:pPr>
      <w:tabs>
        <w:tab w:val="left" w:pos="709"/>
      </w:tabs>
      <w:jc w:val="center"/>
      <w:rPr>
        <w:rFonts w:ascii="Arial" w:eastAsia="Arial" w:hAnsi="Arial" w:cs="Arial"/>
        <w:b/>
        <w:sz w:val="16"/>
        <w:szCs w:val="16"/>
      </w:rPr>
    </w:pPr>
    <w:r>
      <w:rPr>
        <w:rFonts w:ascii="Arial" w:eastAsia="Arial" w:hAnsi="Arial" w:cs="Arial"/>
        <w:b/>
        <w:sz w:val="16"/>
        <w:szCs w:val="16"/>
      </w:rPr>
      <w:t>INSTITUTO FEDERAL FARROUPILHA</w:t>
    </w:r>
  </w:p>
  <w:p w:rsidR="00186A14" w:rsidRDefault="005A6ED7">
    <w:pPr>
      <w:tabs>
        <w:tab w:val="left" w:pos="709"/>
      </w:tabs>
      <w:jc w:val="center"/>
    </w:pPr>
    <w:r>
      <w:rPr>
        <w:rFonts w:ascii="Arial" w:eastAsia="Arial" w:hAnsi="Arial" w:cs="Arial"/>
        <w:b/>
        <w:i/>
        <w:sz w:val="16"/>
        <w:szCs w:val="16"/>
      </w:rPr>
      <w:t>CAMPUS</w:t>
    </w:r>
    <w:r>
      <w:rPr>
        <w:rFonts w:ascii="Arial" w:eastAsia="Arial" w:hAnsi="Arial" w:cs="Arial"/>
        <w:b/>
        <w:sz w:val="16"/>
        <w:szCs w:val="16"/>
      </w:rPr>
      <w:t xml:space="preserve"> PANAMBI</w:t>
    </w:r>
  </w:p>
  <w:p w:rsidR="00186A14" w:rsidRDefault="00186A14">
    <w:pPr>
      <w:pBdr>
        <w:top w:val="nil"/>
        <w:left w:val="nil"/>
        <w:bottom w:val="nil"/>
        <w:right w:val="nil"/>
        <w:between w:val="nil"/>
      </w:pBdr>
      <w:tabs>
        <w:tab w:val="center" w:pos="4252"/>
        <w:tab w:val="right" w:pos="8504"/>
      </w:tabs>
      <w:jc w:val="center"/>
      <w:rPr>
        <w:rFonts w:cs="Ecofont_Spranq_eco_Sans"/>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2540A"/>
    <w:multiLevelType w:val="multilevel"/>
    <w:tmpl w:val="90A20094"/>
    <w:lvl w:ilvl="0">
      <w:start w:val="20"/>
      <w:numFmt w:val="decimal"/>
      <w:lvlText w:val="%1."/>
      <w:lvlJc w:val="left"/>
      <w:pPr>
        <w:ind w:left="444" w:hanging="444"/>
      </w:pPr>
    </w:lvl>
    <w:lvl w:ilvl="1">
      <w:start w:val="1"/>
      <w:numFmt w:val="decimal"/>
      <w:lvlText w:val="%1.%2."/>
      <w:lvlJc w:val="left"/>
      <w:pPr>
        <w:ind w:left="869" w:hanging="443"/>
      </w:pPr>
    </w:lvl>
    <w:lvl w:ilvl="2">
      <w:start w:val="1"/>
      <w:numFmt w:val="decimal"/>
      <w:lvlText w:val="%1.%2.%3."/>
      <w:lvlJc w:val="left"/>
      <w:pPr>
        <w:ind w:left="1570" w:hanging="720"/>
      </w:pPr>
    </w:lvl>
    <w:lvl w:ilvl="3">
      <w:start w:val="1"/>
      <w:numFmt w:val="decimal"/>
      <w:lvlText w:val="%1.%2.%3.%4."/>
      <w:lvlJc w:val="left"/>
      <w:pPr>
        <w:ind w:left="1995" w:hanging="720"/>
      </w:pPr>
    </w:lvl>
    <w:lvl w:ilvl="4">
      <w:start w:val="1"/>
      <w:numFmt w:val="decimal"/>
      <w:lvlText w:val="%1.%2.%3.%4.%5."/>
      <w:lvlJc w:val="left"/>
      <w:pPr>
        <w:ind w:left="2780" w:hanging="1080"/>
      </w:pPr>
    </w:lvl>
    <w:lvl w:ilvl="5">
      <w:start w:val="1"/>
      <w:numFmt w:val="decimal"/>
      <w:lvlText w:val="%1.%2.%3.%4.%5.%6."/>
      <w:lvlJc w:val="left"/>
      <w:pPr>
        <w:ind w:left="3205" w:hanging="1080"/>
      </w:pPr>
    </w:lvl>
    <w:lvl w:ilvl="6">
      <w:start w:val="1"/>
      <w:numFmt w:val="decimal"/>
      <w:lvlText w:val="%1.%2.%3.%4.%5.%6.%7."/>
      <w:lvlJc w:val="left"/>
      <w:pPr>
        <w:ind w:left="3990" w:hanging="1440"/>
      </w:pPr>
    </w:lvl>
    <w:lvl w:ilvl="7">
      <w:start w:val="1"/>
      <w:numFmt w:val="decimal"/>
      <w:lvlText w:val="%1.%2.%3.%4.%5.%6.%7.%8."/>
      <w:lvlJc w:val="left"/>
      <w:pPr>
        <w:ind w:left="4415" w:hanging="1440"/>
      </w:pPr>
    </w:lvl>
    <w:lvl w:ilvl="8">
      <w:start w:val="1"/>
      <w:numFmt w:val="decimal"/>
      <w:lvlText w:val="%1.%2.%3.%4.%5.%6.%7.%8.%9."/>
      <w:lvlJc w:val="left"/>
      <w:pPr>
        <w:ind w:left="5200" w:hanging="1800"/>
      </w:pPr>
    </w:lvl>
  </w:abstractNum>
  <w:abstractNum w:abstractNumId="1" w15:restartNumberingAfterBreak="0">
    <w:nsid w:val="0B2A7024"/>
    <w:multiLevelType w:val="multilevel"/>
    <w:tmpl w:val="DC683EE6"/>
    <w:lvl w:ilvl="0">
      <w:start w:val="2"/>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0E41B6"/>
    <w:multiLevelType w:val="multilevel"/>
    <w:tmpl w:val="438819DC"/>
    <w:lvl w:ilvl="0">
      <w:start w:val="1"/>
      <w:numFmt w:val="decimal"/>
      <w:lvlText w:val="%1."/>
      <w:lvlJc w:val="left"/>
      <w:pPr>
        <w:ind w:left="720" w:hanging="360"/>
      </w:pPr>
      <w:rPr>
        <w:sz w:val="20"/>
        <w:szCs w:val="20"/>
      </w:rPr>
    </w:lvl>
    <w:lvl w:ilvl="1">
      <w:start w:val="1"/>
      <w:numFmt w:val="decimal"/>
      <w:pStyle w:val="Ttulo2"/>
      <w:lvlText w:val="%1.%2."/>
      <w:lvlJc w:val="left"/>
      <w:pPr>
        <w:ind w:left="1080" w:hanging="720"/>
      </w:pPr>
      <w:rPr>
        <w:b w:val="0"/>
        <w:color w:val="000000"/>
      </w:rPr>
    </w:lvl>
    <w:lvl w:ilvl="2">
      <w:start w:val="1"/>
      <w:numFmt w:val="decimal"/>
      <w:lvlText w:val="%1.%2.%3."/>
      <w:lvlJc w:val="left"/>
      <w:pPr>
        <w:ind w:left="1080" w:hanging="720"/>
      </w:pPr>
      <w:rPr>
        <w:color w:val="000000"/>
      </w:rPr>
    </w:lvl>
    <w:lvl w:ilvl="3">
      <w:start w:val="1"/>
      <w:numFmt w:val="decimal"/>
      <w:lvlText w:val="%1.%2.%3.%4."/>
      <w:lvlJc w:val="left"/>
      <w:pPr>
        <w:ind w:left="1440" w:hanging="1080"/>
      </w:pPr>
      <w:rPr>
        <w:color w:val="000000"/>
      </w:rPr>
    </w:lvl>
    <w:lvl w:ilvl="4">
      <w:start w:val="1"/>
      <w:numFmt w:val="decimal"/>
      <w:lvlText w:val="%1.%2.%3.%4.%5."/>
      <w:lvlJc w:val="left"/>
      <w:pPr>
        <w:ind w:left="1800" w:hanging="1440"/>
      </w:pPr>
      <w:rPr>
        <w:color w:val="000000"/>
      </w:rPr>
    </w:lvl>
    <w:lvl w:ilvl="5">
      <w:start w:val="1"/>
      <w:numFmt w:val="decimal"/>
      <w:lvlText w:val="%1.%2.%3.%4.%5.%6."/>
      <w:lvlJc w:val="left"/>
      <w:pPr>
        <w:ind w:left="1800" w:hanging="1440"/>
      </w:pPr>
      <w:rPr>
        <w:color w:val="000000"/>
      </w:rPr>
    </w:lvl>
    <w:lvl w:ilvl="6">
      <w:start w:val="1"/>
      <w:numFmt w:val="decimal"/>
      <w:lvlText w:val="%1.%2.%3.%4.%5.%6.%7."/>
      <w:lvlJc w:val="left"/>
      <w:pPr>
        <w:ind w:left="2160" w:hanging="1800"/>
      </w:pPr>
      <w:rPr>
        <w:color w:val="000000"/>
      </w:rPr>
    </w:lvl>
    <w:lvl w:ilvl="7">
      <w:start w:val="1"/>
      <w:numFmt w:val="decimal"/>
      <w:lvlText w:val="%1.%2.%3.%4.%5.%6.%7.%8."/>
      <w:lvlJc w:val="left"/>
      <w:pPr>
        <w:ind w:left="2520" w:hanging="2160"/>
      </w:pPr>
      <w:rPr>
        <w:color w:val="000000"/>
      </w:rPr>
    </w:lvl>
    <w:lvl w:ilvl="8">
      <w:start w:val="1"/>
      <w:numFmt w:val="decimal"/>
      <w:lvlText w:val="%1.%2.%3.%4.%5.%6.%7.%8.%9."/>
      <w:lvlJc w:val="left"/>
      <w:pPr>
        <w:ind w:left="2520" w:hanging="2160"/>
      </w:pPr>
      <w:rPr>
        <w:color w:val="000000"/>
      </w:rPr>
    </w:lvl>
  </w:abstractNum>
  <w:abstractNum w:abstractNumId="3" w15:restartNumberingAfterBreak="0">
    <w:nsid w:val="11190DAC"/>
    <w:multiLevelType w:val="multilevel"/>
    <w:tmpl w:val="699AD7C0"/>
    <w:lvl w:ilvl="0">
      <w:start w:val="17"/>
      <w:numFmt w:val="decimal"/>
      <w:lvlText w:val="%1."/>
      <w:lvlJc w:val="left"/>
      <w:pPr>
        <w:ind w:left="360" w:hanging="360"/>
      </w:pPr>
    </w:lvl>
    <w:lvl w:ilvl="1">
      <w:start w:val="1"/>
      <w:numFmt w:val="decimal"/>
      <w:lvlText w:val="%1.%2."/>
      <w:lvlJc w:val="left"/>
      <w:pPr>
        <w:ind w:left="792" w:hanging="432"/>
      </w:pPr>
      <w:rPr>
        <w:b w:val="0"/>
        <w:i w:val="0"/>
      </w:rPr>
    </w:lvl>
    <w:lvl w:ilvl="2">
      <w:start w:val="1"/>
      <w:numFmt w:val="decimal"/>
      <w:lvlText w:val="%1.%2.%3."/>
      <w:lvlJc w:val="left"/>
      <w:pPr>
        <w:ind w:left="1224" w:hanging="504"/>
      </w:pPr>
      <w:rPr>
        <w:b w:val="0"/>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D7C662F"/>
    <w:multiLevelType w:val="multilevel"/>
    <w:tmpl w:val="F18E546C"/>
    <w:lvl w:ilvl="0">
      <w:start w:val="19"/>
      <w:numFmt w:val="decimal"/>
      <w:lvlText w:val="%1"/>
      <w:lvlJc w:val="left"/>
      <w:pPr>
        <w:ind w:left="360" w:hanging="360"/>
      </w:pPr>
    </w:lvl>
    <w:lvl w:ilvl="1">
      <w:start w:val="1"/>
      <w:numFmt w:val="decimal"/>
      <w:lvlText w:val="%1.%2"/>
      <w:lvlJc w:val="left"/>
      <w:pPr>
        <w:ind w:left="785" w:hanging="360"/>
      </w:pPr>
    </w:lvl>
    <w:lvl w:ilvl="2">
      <w:start w:val="1"/>
      <w:numFmt w:val="decimal"/>
      <w:lvlText w:val="%1.%2.%3"/>
      <w:lvlJc w:val="left"/>
      <w:pPr>
        <w:ind w:left="1854" w:hanging="720"/>
      </w:pPr>
    </w:lvl>
    <w:lvl w:ilvl="3">
      <w:start w:val="1"/>
      <w:numFmt w:val="decimal"/>
      <w:lvlText w:val="%1.%2.%3.%4"/>
      <w:lvlJc w:val="left"/>
      <w:pPr>
        <w:ind w:left="2421" w:hanging="720"/>
      </w:pPr>
    </w:lvl>
    <w:lvl w:ilvl="4">
      <w:start w:val="1"/>
      <w:numFmt w:val="decimal"/>
      <w:lvlText w:val="%1.%2.%3.%4.%5"/>
      <w:lvlJc w:val="left"/>
      <w:pPr>
        <w:ind w:left="3348" w:hanging="1080"/>
      </w:p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abstractNum w:abstractNumId="5" w15:restartNumberingAfterBreak="0">
    <w:nsid w:val="243C46C1"/>
    <w:multiLevelType w:val="multilevel"/>
    <w:tmpl w:val="5E74E0BA"/>
    <w:lvl w:ilvl="0">
      <w:start w:val="14"/>
      <w:numFmt w:val="decimal"/>
      <w:lvlText w:val="%1."/>
      <w:lvlJc w:val="left"/>
      <w:pPr>
        <w:ind w:left="644" w:hanging="359"/>
      </w:pPr>
    </w:lvl>
    <w:lvl w:ilvl="1">
      <w:start w:val="1"/>
      <w:numFmt w:val="decimal"/>
      <w:lvlText w:val="%1.%2."/>
      <w:lvlJc w:val="left"/>
      <w:pPr>
        <w:ind w:left="1141" w:hanging="432"/>
      </w:pPr>
      <w:rPr>
        <w:i w:val="0"/>
      </w:rPr>
    </w:lvl>
    <w:lvl w:ilvl="2">
      <w:start w:val="1"/>
      <w:numFmt w:val="decimal"/>
      <w:lvlText w:val="%1.%2.%3."/>
      <w:lvlJc w:val="left"/>
      <w:pPr>
        <w:ind w:left="1922" w:hanging="504"/>
      </w:pPr>
    </w:lvl>
    <w:lvl w:ilvl="3">
      <w:start w:val="1"/>
      <w:numFmt w:val="decimal"/>
      <w:lvlText w:val="%1.%2.%3.%4."/>
      <w:lvlJc w:val="left"/>
      <w:pPr>
        <w:ind w:left="2491" w:hanging="648"/>
      </w:pPr>
      <w:rPr>
        <w:i w:val="0"/>
      </w:rPr>
    </w:lvl>
    <w:lvl w:ilvl="4">
      <w:start w:val="1"/>
      <w:numFmt w:val="decimal"/>
      <w:lvlText w:val="%1.%2.%3.%4.%5."/>
      <w:lvlJc w:val="left"/>
      <w:pPr>
        <w:ind w:left="3485"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3B93445B"/>
    <w:multiLevelType w:val="multilevel"/>
    <w:tmpl w:val="46CA1F38"/>
    <w:lvl w:ilvl="0">
      <w:start w:val="21"/>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3EF1649A"/>
    <w:multiLevelType w:val="multilevel"/>
    <w:tmpl w:val="5CA24394"/>
    <w:lvl w:ilvl="0">
      <w:start w:val="23"/>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1800A1D"/>
    <w:multiLevelType w:val="multilevel"/>
    <w:tmpl w:val="7C0EB7C6"/>
    <w:lvl w:ilvl="0">
      <w:start w:val="22"/>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67E178E"/>
    <w:multiLevelType w:val="multilevel"/>
    <w:tmpl w:val="9DDA3424"/>
    <w:lvl w:ilvl="0">
      <w:start w:val="1"/>
      <w:numFmt w:val="decimal"/>
      <w:pStyle w:val="Nivel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96268B1"/>
    <w:multiLevelType w:val="multilevel"/>
    <w:tmpl w:val="412CAE0A"/>
    <w:lvl w:ilvl="0">
      <w:start w:val="12"/>
      <w:numFmt w:val="decimal"/>
      <w:lvlText w:val="%1"/>
      <w:lvlJc w:val="left"/>
      <w:pPr>
        <w:ind w:left="375" w:hanging="375"/>
      </w:pPr>
    </w:lvl>
    <w:lvl w:ilvl="1">
      <w:start w:val="1"/>
      <w:numFmt w:val="decimal"/>
      <w:lvlText w:val="%1.%2"/>
      <w:lvlJc w:val="left"/>
      <w:pPr>
        <w:ind w:left="1232" w:hanging="375"/>
      </w:pPr>
    </w:lvl>
    <w:lvl w:ilvl="2">
      <w:start w:val="1"/>
      <w:numFmt w:val="decimal"/>
      <w:lvlText w:val="%1.%2.%3"/>
      <w:lvlJc w:val="left"/>
      <w:pPr>
        <w:ind w:left="2434" w:hanging="720"/>
      </w:pPr>
    </w:lvl>
    <w:lvl w:ilvl="3">
      <w:start w:val="1"/>
      <w:numFmt w:val="decimal"/>
      <w:lvlText w:val="%1.%2.%3.%4"/>
      <w:lvlJc w:val="left"/>
      <w:pPr>
        <w:ind w:left="3291" w:hanging="720"/>
      </w:pPr>
    </w:lvl>
    <w:lvl w:ilvl="4">
      <w:start w:val="1"/>
      <w:numFmt w:val="decimal"/>
      <w:lvlText w:val="%1.%2.%3.%4.%5"/>
      <w:lvlJc w:val="left"/>
      <w:pPr>
        <w:ind w:left="4508" w:hanging="1080"/>
      </w:pPr>
    </w:lvl>
    <w:lvl w:ilvl="5">
      <w:start w:val="1"/>
      <w:numFmt w:val="decimal"/>
      <w:lvlText w:val="%1.%2.%3.%4.%5.%6"/>
      <w:lvlJc w:val="left"/>
      <w:pPr>
        <w:ind w:left="5365" w:hanging="1080"/>
      </w:pPr>
    </w:lvl>
    <w:lvl w:ilvl="6">
      <w:start w:val="1"/>
      <w:numFmt w:val="decimal"/>
      <w:lvlText w:val="%1.%2.%3.%4.%5.%6.%7"/>
      <w:lvlJc w:val="left"/>
      <w:pPr>
        <w:ind w:left="6582" w:hanging="1440"/>
      </w:pPr>
    </w:lvl>
    <w:lvl w:ilvl="7">
      <w:start w:val="1"/>
      <w:numFmt w:val="decimal"/>
      <w:lvlText w:val="%1.%2.%3.%4.%5.%6.%7.%8"/>
      <w:lvlJc w:val="left"/>
      <w:pPr>
        <w:ind w:left="7439" w:hanging="1440"/>
      </w:pPr>
    </w:lvl>
    <w:lvl w:ilvl="8">
      <w:start w:val="1"/>
      <w:numFmt w:val="decimal"/>
      <w:lvlText w:val="%1.%2.%3.%4.%5.%6.%7.%8.%9"/>
      <w:lvlJc w:val="left"/>
      <w:pPr>
        <w:ind w:left="8656" w:hanging="1800"/>
      </w:pPr>
    </w:lvl>
  </w:abstractNum>
  <w:abstractNum w:abstractNumId="11" w15:restartNumberingAfterBreak="0">
    <w:nsid w:val="5751784F"/>
    <w:multiLevelType w:val="multilevel"/>
    <w:tmpl w:val="792E6440"/>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60667304"/>
    <w:multiLevelType w:val="multilevel"/>
    <w:tmpl w:val="5A2015F4"/>
    <w:lvl w:ilvl="0">
      <w:start w:val="20"/>
      <w:numFmt w:val="decimal"/>
      <w:lvlText w:val="%1."/>
      <w:lvlJc w:val="left"/>
      <w:pPr>
        <w:ind w:left="360" w:hanging="360"/>
      </w:pPr>
      <w:rPr>
        <w:sz w:val="20"/>
        <w:szCs w:val="20"/>
      </w:rPr>
    </w:lvl>
    <w:lvl w:ilvl="1">
      <w:start w:val="1"/>
      <w:numFmt w:val="decimal"/>
      <w:lvlText w:val="%1.%2."/>
      <w:lvlJc w:val="left"/>
      <w:pPr>
        <w:ind w:left="432" w:hanging="432"/>
      </w:pPr>
      <w:rPr>
        <w:b w:val="0"/>
        <w:i w:val="0"/>
        <w:color w:val="000000"/>
        <w:sz w:val="20"/>
        <w:szCs w:val="20"/>
      </w:rPr>
    </w:lvl>
    <w:lvl w:ilvl="2">
      <w:start w:val="1"/>
      <w:numFmt w:val="decimal"/>
      <w:lvlText w:val="%1.%2.%3."/>
      <w:lvlJc w:val="left"/>
      <w:pPr>
        <w:ind w:left="1224" w:hanging="504"/>
      </w:pPr>
      <w:rPr>
        <w:b w:val="0"/>
        <w:color w:val="000000"/>
        <w:sz w:val="20"/>
        <w:szCs w:val="20"/>
      </w:rPr>
    </w:lvl>
    <w:lvl w:ilvl="3">
      <w:start w:val="1"/>
      <w:numFmt w:val="decimal"/>
      <w:lvlText w:val="%1.%2.%3.%4."/>
      <w:lvlJc w:val="left"/>
      <w:pPr>
        <w:ind w:left="1728" w:hanging="647"/>
      </w:pPr>
      <w:rPr>
        <w:sz w:val="20"/>
        <w:szCs w:val="20"/>
      </w:rPr>
    </w:lvl>
    <w:lvl w:ilvl="4">
      <w:start w:val="1"/>
      <w:numFmt w:val="decimal"/>
      <w:lvlText w:val="%1.%2.%3.%4.%5."/>
      <w:lvlJc w:val="left"/>
      <w:pPr>
        <w:ind w:left="2232" w:hanging="792"/>
      </w:pPr>
    </w:lvl>
    <w:lvl w:ilvl="5">
      <w:start w:val="1"/>
      <w:numFmt w:val="decimal"/>
      <w:lvlText w:val="%1.%2.%3.%4.%5.%6."/>
      <w:lvlJc w:val="left"/>
      <w:pPr>
        <w:ind w:left="2736" w:hanging="935"/>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50C200C"/>
    <w:multiLevelType w:val="multilevel"/>
    <w:tmpl w:val="57EED144"/>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2"/>
  </w:num>
  <w:num w:numId="2">
    <w:abstractNumId w:val="7"/>
  </w:num>
  <w:num w:numId="3">
    <w:abstractNumId w:val="0"/>
  </w:num>
  <w:num w:numId="4">
    <w:abstractNumId w:val="11"/>
  </w:num>
  <w:num w:numId="5">
    <w:abstractNumId w:val="5"/>
  </w:num>
  <w:num w:numId="6">
    <w:abstractNumId w:val="13"/>
  </w:num>
  <w:num w:numId="7">
    <w:abstractNumId w:val="10"/>
  </w:num>
  <w:num w:numId="8">
    <w:abstractNumId w:val="4"/>
  </w:num>
  <w:num w:numId="9">
    <w:abstractNumId w:val="1"/>
  </w:num>
  <w:num w:numId="10">
    <w:abstractNumId w:val="8"/>
  </w:num>
  <w:num w:numId="11">
    <w:abstractNumId w:val="12"/>
  </w:num>
  <w:num w:numId="12">
    <w:abstractNumId w:val="6"/>
  </w:num>
  <w:num w:numId="13">
    <w:abstractNumId w:val="3"/>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6A14"/>
    <w:rsid w:val="001012E6"/>
    <w:rsid w:val="00186A14"/>
    <w:rsid w:val="001A2DE0"/>
    <w:rsid w:val="00276928"/>
    <w:rsid w:val="003A56DF"/>
    <w:rsid w:val="005A6ED7"/>
    <w:rsid w:val="006E6DC5"/>
    <w:rsid w:val="00FB2B4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5D99B8"/>
  <w15:docId w15:val="{A90C0371-EA75-491B-A8CE-E713C43E6C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Ecofont_Spranq_eco_Sans" w:eastAsia="Ecofont_Spranq_eco_Sans" w:hAnsi="Ecofont_Spranq_eco_Sans" w:cs="Ecofont_Spranq_eco_Sans"/>
        <w:sz w:val="24"/>
        <w:szCs w:val="24"/>
        <w:lang w:val="pt-BR" w:eastAsia="pt-B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rFonts w:cs="Tahoma"/>
      <w:lang w:eastAsia="zh-CN"/>
    </w:rPr>
  </w:style>
  <w:style w:type="paragraph" w:styleId="Ttulo1">
    <w:name w:val="heading 1"/>
    <w:basedOn w:val="Normal"/>
    <w:next w:val="Normal"/>
    <w:link w:val="Ttulo1Char"/>
    <w:uiPriority w:val="9"/>
    <w:qFormat/>
    <w:rsid w:val="005C354C"/>
    <w:pPr>
      <w:keepNext/>
      <w:keepLines/>
      <w:spacing w:before="480"/>
      <w:outlineLvl w:val="0"/>
    </w:pPr>
    <w:rPr>
      <w:rFonts w:asciiTheme="majorHAnsi" w:eastAsiaTheme="majorEastAsia" w:hAnsiTheme="majorHAnsi" w:cstheme="majorBidi"/>
      <w:b/>
      <w:bCs/>
      <w:color w:val="2F5496" w:themeColor="accent1" w:themeShade="BF"/>
      <w:sz w:val="28"/>
      <w:szCs w:val="28"/>
    </w:rPr>
  </w:style>
  <w:style w:type="paragraph" w:styleId="Ttulo2">
    <w:name w:val="heading 2"/>
    <w:basedOn w:val="Normal"/>
    <w:next w:val="Normal"/>
    <w:qFormat/>
    <w:pPr>
      <w:keepNext/>
      <w:numPr>
        <w:ilvl w:val="1"/>
        <w:numId w:val="1"/>
      </w:numPr>
      <w:tabs>
        <w:tab w:val="left" w:pos="1701"/>
      </w:tabs>
      <w:ind w:left="0" w:right="-1" w:firstLine="0"/>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672B4"/>
    <w:pPr>
      <w:keepNext/>
      <w:keepLines/>
      <w:spacing w:before="40"/>
      <w:outlineLvl w:val="2"/>
    </w:pPr>
    <w:rPr>
      <w:rFonts w:asciiTheme="majorHAnsi" w:eastAsiaTheme="majorEastAsia" w:hAnsiTheme="majorHAnsi" w:cstheme="majorBidi"/>
      <w:color w:val="1F3763" w:themeColor="accent1" w:themeShade="7F"/>
    </w:rPr>
  </w:style>
  <w:style w:type="paragraph" w:styleId="Ttulo4">
    <w:name w:val="heading 4"/>
    <w:basedOn w:val="Normal"/>
    <w:next w:val="Normal"/>
    <w:pPr>
      <w:keepNext/>
      <w:keepLines/>
      <w:spacing w:before="240" w:after="40"/>
      <w:outlineLvl w:val="3"/>
    </w:pPr>
    <w:rPr>
      <w:b/>
    </w:rPr>
  </w:style>
  <w:style w:type="paragraph" w:styleId="Ttulo5">
    <w:name w:val="heading 5"/>
    <w:basedOn w:val="Normal"/>
    <w:next w:val="Normal"/>
    <w:pPr>
      <w:keepNext/>
      <w:keepLines/>
      <w:spacing w:before="220" w:after="40"/>
      <w:outlineLvl w:val="4"/>
    </w:pPr>
    <w:rPr>
      <w:b/>
      <w:sz w:val="22"/>
      <w:szCs w:val="22"/>
    </w:rPr>
  </w:style>
  <w:style w:type="paragraph" w:styleId="Ttulo6">
    <w:name w:val="heading 6"/>
    <w:basedOn w:val="Normal"/>
    <w:next w:val="Normal"/>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character" w:customStyle="1" w:styleId="WW8Num3z0">
    <w:name w:val="WW8Num3z0"/>
    <w:rPr>
      <w:sz w:val="20"/>
      <w:szCs w:val="20"/>
    </w:rPr>
  </w:style>
  <w:style w:type="character" w:customStyle="1" w:styleId="WW8Num3z1">
    <w:name w:val="WW8Num3z1"/>
    <w:rPr>
      <w:color w:val="auto"/>
    </w:rPr>
  </w:style>
  <w:style w:type="character" w:customStyle="1" w:styleId="WW8Num4z0">
    <w:name w:val="WW8Num4z0"/>
    <w:rPr>
      <w:sz w:val="20"/>
      <w:szCs w:val="20"/>
    </w:rPr>
  </w:style>
  <w:style w:type="character" w:customStyle="1" w:styleId="WW8Num4z1">
    <w:name w:val="WW8Num4z1"/>
    <w:rPr>
      <w:color w:val="auto"/>
    </w:rPr>
  </w:style>
  <w:style w:type="character" w:customStyle="1" w:styleId="Absatz-Standardschriftart">
    <w:name w:val="Absatz-Standardschriftart"/>
  </w:style>
  <w:style w:type="character" w:customStyle="1" w:styleId="WW8Num6z1">
    <w:name w:val="WW8Num6z1"/>
    <w:rPr>
      <w:i w:val="0"/>
    </w:rPr>
  </w:style>
  <w:style w:type="character" w:customStyle="1" w:styleId="WW8Num7z0">
    <w:name w:val="WW8Num7z0"/>
    <w:rPr>
      <w:rFonts w:eastAsia="Arial Unicode MS"/>
    </w:rPr>
  </w:style>
  <w:style w:type="character" w:customStyle="1" w:styleId="WW8Num7z1">
    <w:name w:val="WW8Num7z1"/>
    <w:rPr>
      <w:rFonts w:cs="Times New Roman"/>
      <w:b w:val="0"/>
      <w:i/>
      <w:color w:val="FF0000"/>
    </w:rPr>
  </w:style>
  <w:style w:type="character" w:customStyle="1" w:styleId="Fontepargpadro2">
    <w:name w:val="Fonte parág. padrão2"/>
  </w:style>
  <w:style w:type="character" w:customStyle="1" w:styleId="WW8Num2z1">
    <w:name w:val="WW8Num2z1"/>
    <w:rPr>
      <w:i w:val="0"/>
    </w:rPr>
  </w:style>
  <w:style w:type="character" w:customStyle="1" w:styleId="WW8Num5z1">
    <w:name w:val="WW8Num5z1"/>
    <w:rPr>
      <w:i w:val="0"/>
    </w:rPr>
  </w:style>
  <w:style w:type="character" w:customStyle="1" w:styleId="WW-Absatz-Standardschriftart">
    <w:name w:val="WW-Absatz-Standardschriftart"/>
  </w:style>
  <w:style w:type="character" w:customStyle="1" w:styleId="WW8Num1z0">
    <w:name w:val="WW8Num1z0"/>
    <w:rPr>
      <w:rFonts w:ascii="Symbol" w:hAnsi="Symbol" w:cs="Symbol"/>
    </w:rPr>
  </w:style>
  <w:style w:type="character" w:customStyle="1" w:styleId="WW8Num1z2">
    <w:name w:val="WW8Num1z2"/>
    <w:rPr>
      <w:rFonts w:ascii="Courier New" w:hAnsi="Courier New" w:cs="Courier New"/>
    </w:rPr>
  </w:style>
  <w:style w:type="character" w:customStyle="1" w:styleId="WW8Num1z3">
    <w:name w:val="WW8Num1z3"/>
    <w:rPr>
      <w:rFonts w:ascii="Wingdings" w:hAnsi="Wingdings" w:cs="Wingdings"/>
    </w:rPr>
  </w:style>
  <w:style w:type="character" w:customStyle="1" w:styleId="WW8Num5z0">
    <w:name w:val="WW8Num5z0"/>
    <w:rPr>
      <w:b/>
      <w:i w:val="0"/>
    </w:rPr>
  </w:style>
  <w:style w:type="character" w:customStyle="1" w:styleId="WW8Num8z1">
    <w:name w:val="WW8Num8z1"/>
    <w:rPr>
      <w:i w:val="0"/>
    </w:rPr>
  </w:style>
  <w:style w:type="character" w:customStyle="1" w:styleId="WW8Num11z0">
    <w:name w:val="WW8Num11z0"/>
    <w:rPr>
      <w:rFonts w:cs="Tahoma"/>
    </w:rPr>
  </w:style>
  <w:style w:type="character" w:customStyle="1" w:styleId="WW8Num12z1">
    <w:name w:val="WW8Num12z1"/>
    <w:rPr>
      <w:color w:val="auto"/>
    </w:rPr>
  </w:style>
  <w:style w:type="character" w:customStyle="1" w:styleId="WW8Num13z0">
    <w:name w:val="WW8Num13z0"/>
    <w:rPr>
      <w:b/>
      <w:i w:val="0"/>
    </w:rPr>
  </w:style>
  <w:style w:type="character" w:customStyle="1" w:styleId="WW8Num13z1">
    <w:name w:val="WW8Num13z1"/>
    <w:rPr>
      <w:b/>
      <w:i w:val="0"/>
      <w:color w:val="auto"/>
    </w:rPr>
  </w:style>
  <w:style w:type="character" w:customStyle="1" w:styleId="WW8Num15z0">
    <w:name w:val="WW8Num15z0"/>
    <w:rPr>
      <w:color w:val="0000FF"/>
    </w:rPr>
  </w:style>
  <w:style w:type="character" w:customStyle="1" w:styleId="WW8Num16z0">
    <w:name w:val="WW8Num16z0"/>
    <w:rPr>
      <w:b w:val="0"/>
    </w:rPr>
  </w:style>
  <w:style w:type="character" w:customStyle="1" w:styleId="WW8Num18z0">
    <w:name w:val="WW8Num18z0"/>
    <w:rPr>
      <w:rFonts w:ascii="Ecofont_Spranq_eco_Sans" w:hAnsi="Ecofont_Spranq_eco_Sans" w:cs="Arial"/>
      <w:i/>
      <w:color w:val="FF0000"/>
    </w:rPr>
  </w:style>
  <w:style w:type="character" w:customStyle="1" w:styleId="WW8Num20z0">
    <w:name w:val="WW8Num20z0"/>
    <w:rPr>
      <w:rFonts w:cs="Tahoma"/>
    </w:rPr>
  </w:style>
  <w:style w:type="character" w:customStyle="1" w:styleId="WW8Num21z0">
    <w:name w:val="WW8Num21z0"/>
    <w:rPr>
      <w:b w:val="0"/>
    </w:rPr>
  </w:style>
  <w:style w:type="character" w:customStyle="1" w:styleId="WW8Num24z0">
    <w:name w:val="WW8Num24z0"/>
    <w:rPr>
      <w:b/>
      <w:i w:val="0"/>
    </w:rPr>
  </w:style>
  <w:style w:type="character" w:customStyle="1" w:styleId="WW8Num24z1">
    <w:name w:val="WW8Num24z1"/>
    <w:rPr>
      <w:b/>
      <w:i w:val="0"/>
      <w:color w:val="auto"/>
    </w:rPr>
  </w:style>
  <w:style w:type="character" w:customStyle="1" w:styleId="Fontepargpadro1">
    <w:name w:val="Fonte parág. padrão1"/>
  </w:style>
  <w:style w:type="character" w:customStyle="1" w:styleId="TextodebaloChar">
    <w:name w:val="Texto de balão Char"/>
    <w:rPr>
      <w:rFonts w:ascii="Tahoma" w:hAnsi="Tahoma" w:cs="Tahoma"/>
      <w:sz w:val="16"/>
      <w:szCs w:val="16"/>
    </w:rPr>
  </w:style>
  <w:style w:type="character" w:customStyle="1" w:styleId="Ttulo2Char">
    <w:name w:val="Título 2 Char"/>
    <w:rPr>
      <w:b/>
      <w:color w:val="000000"/>
      <w:sz w:val="24"/>
    </w:rPr>
  </w:style>
  <w:style w:type="character" w:customStyle="1" w:styleId="normalchar1">
    <w:name w:val="normal__char1"/>
    <w:rPr>
      <w:rFonts w:ascii="Arial" w:hAnsi="Arial" w:cs="Arial"/>
      <w:strike w:val="0"/>
      <w:dstrike w:val="0"/>
      <w:sz w:val="24"/>
      <w:szCs w:val="24"/>
      <w:u w:val="none"/>
    </w:rPr>
  </w:style>
  <w:style w:type="character" w:customStyle="1" w:styleId="apple-style-span">
    <w:name w:val="apple-style-span"/>
    <w:basedOn w:val="Fontepargpadro1"/>
  </w:style>
  <w:style w:type="character" w:styleId="Hyperlink">
    <w:name w:val="Hyperlink"/>
    <w:rPr>
      <w:color w:val="000080"/>
      <w:u w:val="single"/>
    </w:rPr>
  </w:style>
  <w:style w:type="character" w:styleId="Forte">
    <w:name w:val="Strong"/>
    <w:uiPriority w:val="22"/>
    <w:qFormat/>
    <w:rPr>
      <w:b/>
      <w:bCs/>
    </w:rPr>
  </w:style>
  <w:style w:type="character" w:styleId="nfase">
    <w:name w:val="Emphasis"/>
    <w:uiPriority w:val="20"/>
    <w:qFormat/>
    <w:rPr>
      <w:i/>
      <w:iCs/>
    </w:rPr>
  </w:style>
  <w:style w:type="character" w:customStyle="1" w:styleId="citao2Char">
    <w:name w:val="citação 2 Char"/>
    <w:rPr>
      <w:rFonts w:ascii="Ecofont_Spranq_eco_Sans" w:eastAsia="Calibri" w:hAnsi="Ecofont_Spranq_eco_Sans" w:cs="Tahoma"/>
      <w:i/>
      <w:iCs/>
      <w:color w:val="000000"/>
      <w:lang w:val="pt-BR" w:bidi="ar-SA"/>
    </w:rPr>
  </w:style>
  <w:style w:type="character" w:customStyle="1" w:styleId="CorpodetextoChar">
    <w:name w:val="Corpo de texto Char"/>
    <w:rPr>
      <w:sz w:val="24"/>
      <w:lang w:val="pt-BR" w:bidi="ar-SA"/>
    </w:rPr>
  </w:style>
  <w:style w:type="character" w:customStyle="1" w:styleId="FootnoteCharacters">
    <w:name w:val="Footnote Characters"/>
    <w:rPr>
      <w:color w:val="FF0000"/>
      <w:vertAlign w:val="superscript"/>
    </w:rPr>
  </w:style>
  <w:style w:type="character" w:customStyle="1" w:styleId="apple-converted-space">
    <w:name w:val="apple-converted-space"/>
    <w:basedOn w:val="Fontepargpadro1"/>
  </w:style>
  <w:style w:type="character" w:customStyle="1" w:styleId="SombreamentoMdio1-nfase3Char">
    <w:name w:val="Sombreamento Médio 1 - Ênfase 3 Char"/>
    <w:rPr>
      <w:rFonts w:ascii="Ecofont_Spranq_eco_Sans" w:eastAsia="Calibri" w:hAnsi="Ecofont_Spranq_eco_Sans" w:cs="Tahoma"/>
      <w:i/>
      <w:iCs/>
      <w:color w:val="000000"/>
      <w:szCs w:val="24"/>
      <w:lang w:val="pt-BR" w:bidi="ar-SA"/>
    </w:rPr>
  </w:style>
  <w:style w:type="character" w:customStyle="1" w:styleId="TextodecomentrioChar">
    <w:name w:val="Texto de comentário Char"/>
    <w:link w:val="Textodecomentrio"/>
    <w:uiPriority w:val="99"/>
    <w:rPr>
      <w:rFonts w:ascii="Ecofont_Spranq_eco_Sans" w:hAnsi="Ecofont_Spranq_eco_Sans" w:cs="Tahoma"/>
    </w:rPr>
  </w:style>
  <w:style w:type="character" w:customStyle="1" w:styleId="MediumGrid2-Accent2Char">
    <w:name w:val="Medium Grid 2 - Accent 2 Char"/>
    <w:link w:val="GradeMdia2-nfase21"/>
    <w:rPr>
      <w:rFonts w:ascii="Ecofont_Spranq_eco_Sans" w:eastAsia="Calibri" w:hAnsi="Ecofont_Spranq_eco_Sans" w:cs="Ecofont_Spranq_eco_Sans"/>
      <w:i/>
      <w:iCs/>
      <w:color w:val="000000"/>
      <w:szCs w:val="24"/>
      <w:shd w:val="clear" w:color="auto" w:fill="FFFFCC"/>
      <w:lang w:val="x-none"/>
    </w:rPr>
  </w:style>
  <w:style w:type="character" w:customStyle="1" w:styleId="Refdecomentrio1">
    <w:name w:val="Ref. de comentário1"/>
    <w:rPr>
      <w:sz w:val="16"/>
      <w:szCs w:val="16"/>
    </w:rPr>
  </w:style>
  <w:style w:type="character" w:customStyle="1" w:styleId="AssuntodocomentrioChar">
    <w:name w:val="Assunto do comentário Char"/>
    <w:rPr>
      <w:rFonts w:ascii="Ecofont_Spranq_eco_Sans" w:hAnsi="Ecofont_Spranq_eco_Sans" w:cs="Tahoma"/>
      <w:b/>
      <w:bCs/>
    </w:rPr>
  </w:style>
  <w:style w:type="character" w:customStyle="1" w:styleId="Bullets">
    <w:name w:val="Bullets"/>
    <w:rPr>
      <w:rFonts w:ascii="OpenSymbol" w:eastAsia="OpenSymbol" w:hAnsi="OpenSymbol" w:cs="OpenSymbol"/>
    </w:rPr>
  </w:style>
  <w:style w:type="character" w:customStyle="1" w:styleId="Refdecomentrio2">
    <w:name w:val="Ref. de comentário2"/>
    <w:rPr>
      <w:sz w:val="16"/>
      <w:szCs w:val="16"/>
    </w:rPr>
  </w:style>
  <w:style w:type="character" w:customStyle="1" w:styleId="TextodecomentrioChar1">
    <w:name w:val="Texto de comentário Char1"/>
    <w:rPr>
      <w:rFonts w:ascii="Ecofont_Spranq_eco_Sans" w:hAnsi="Ecofont_Spranq_eco_Sans" w:cs="Tahoma"/>
      <w:lang w:eastAsia="zh-CN"/>
    </w:rPr>
  </w:style>
  <w:style w:type="character" w:customStyle="1" w:styleId="CabealhoChar">
    <w:name w:val="Cabeçalho Char"/>
    <w:uiPriority w:val="99"/>
    <w:rPr>
      <w:rFonts w:ascii="Ecofont_Spranq_eco_Sans" w:hAnsi="Ecofont_Spranq_eco_Sans" w:cs="Tahoma"/>
      <w:sz w:val="24"/>
      <w:szCs w:val="24"/>
      <w:lang w:eastAsia="zh-CN"/>
    </w:rPr>
  </w:style>
  <w:style w:type="character" w:customStyle="1" w:styleId="RodapChar">
    <w:name w:val="Rodapé Char"/>
    <w:rPr>
      <w:rFonts w:ascii="Ecofont_Spranq_eco_Sans" w:hAnsi="Ecofont_Spranq_eco_Sans" w:cs="Tahoma"/>
      <w:sz w:val="24"/>
      <w:szCs w:val="24"/>
      <w:lang w:eastAsia="zh-CN"/>
    </w:rPr>
  </w:style>
  <w:style w:type="paragraph" w:customStyle="1" w:styleId="Heading">
    <w:name w:val="Heading"/>
    <w:basedOn w:val="Normal"/>
    <w:next w:val="Corpodetexto"/>
    <w:pPr>
      <w:keepNext/>
      <w:spacing w:before="240" w:after="120"/>
    </w:pPr>
    <w:rPr>
      <w:rFonts w:ascii="Liberation Sans" w:eastAsia="WenQuanYi Micro Hei" w:hAnsi="Liberation Sans" w:cs="Lohit Hindi"/>
      <w:sz w:val="28"/>
      <w:szCs w:val="28"/>
    </w:rPr>
  </w:style>
  <w:style w:type="paragraph" w:styleId="Corpodetexto">
    <w:name w:val="Body Text"/>
    <w:basedOn w:val="Normal"/>
    <w:pPr>
      <w:jc w:val="both"/>
    </w:pPr>
    <w:rPr>
      <w:rFonts w:ascii="Times New Roman" w:hAnsi="Times New Roman" w:cs="Times New Roman"/>
      <w:szCs w:val="20"/>
    </w:rPr>
  </w:style>
  <w:style w:type="paragraph" w:styleId="Lista">
    <w:name w:val="List"/>
    <w:basedOn w:val="Corpodetexto"/>
    <w:rPr>
      <w:rFonts w:cs="Lohit Hindi"/>
    </w:rPr>
  </w:style>
  <w:style w:type="paragraph" w:styleId="Legenda">
    <w:name w:val="caption"/>
    <w:basedOn w:val="Normal"/>
    <w:qFormat/>
    <w:pPr>
      <w:suppressLineNumbers/>
      <w:spacing w:before="120" w:after="120"/>
    </w:pPr>
    <w:rPr>
      <w:rFonts w:cs="Lohit Hindi"/>
      <w:i/>
      <w:iCs/>
    </w:rPr>
  </w:style>
  <w:style w:type="paragraph" w:customStyle="1" w:styleId="Index">
    <w:name w:val="Index"/>
    <w:basedOn w:val="Normal"/>
    <w:pPr>
      <w:suppressLineNumbers/>
    </w:pPr>
    <w:rPr>
      <w:rFonts w:cs="Lohit Hindi"/>
    </w:rPr>
  </w:style>
  <w:style w:type="paragraph" w:customStyle="1" w:styleId="Legenda1">
    <w:name w:val="Legenda1"/>
    <w:basedOn w:val="Normal"/>
    <w:qFormat/>
    <w:pPr>
      <w:suppressLineNumbers/>
      <w:spacing w:before="120" w:after="120"/>
    </w:pPr>
    <w:rPr>
      <w:rFonts w:cs="Lohit Hindi"/>
      <w:i/>
      <w:iCs/>
    </w:rPr>
  </w:style>
  <w:style w:type="paragraph" w:customStyle="1" w:styleId="GradeClara-nfase31">
    <w:name w:val="Grade Clara - Ênfase 31"/>
    <w:basedOn w:val="Normal"/>
    <w:pPr>
      <w:ind w:left="720"/>
    </w:pPr>
  </w:style>
  <w:style w:type="paragraph" w:styleId="NormalWeb">
    <w:name w:val="Normal (Web)"/>
    <w:basedOn w:val="Normal"/>
    <w:uiPriority w:val="99"/>
    <w:pPr>
      <w:spacing w:before="280" w:after="280"/>
    </w:pPr>
    <w:rPr>
      <w:rFonts w:ascii="Times New Roman" w:hAnsi="Times New Roman" w:cs="Times New Roman"/>
    </w:rPr>
  </w:style>
  <w:style w:type="paragraph" w:customStyle="1" w:styleId="Textodebalo1">
    <w:name w:val="Texto de balão1"/>
    <w:basedOn w:val="Normal"/>
    <w:rPr>
      <w:rFonts w:ascii="Tahoma" w:hAnsi="Tahoma"/>
      <w:sz w:val="16"/>
      <w:szCs w:val="16"/>
    </w:rPr>
  </w:style>
  <w:style w:type="paragraph" w:customStyle="1" w:styleId="Nvel2">
    <w:name w:val="Nível 2"/>
    <w:basedOn w:val="Normal"/>
    <w:next w:val="Normal"/>
    <w:pPr>
      <w:spacing w:after="120"/>
      <w:jc w:val="both"/>
    </w:pPr>
    <w:rPr>
      <w:rFonts w:ascii="Arial" w:hAnsi="Arial" w:cs="Times New Roman"/>
      <w:b/>
      <w:szCs w:val="20"/>
    </w:rPr>
  </w:style>
  <w:style w:type="paragraph" w:customStyle="1" w:styleId="citao2">
    <w:name w:val="citação 2"/>
    <w:basedOn w:val="Normal"/>
    <w:qFormat/>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szCs w:val="20"/>
    </w:rPr>
  </w:style>
  <w:style w:type="paragraph" w:customStyle="1" w:styleId="ad">
    <w:name w:val="ad"/>
    <w:basedOn w:val="Normal"/>
    <w:pPr>
      <w:spacing w:line="360" w:lineRule="auto"/>
      <w:ind w:left="993" w:hanging="284"/>
      <w:jc w:val="both"/>
    </w:pPr>
    <w:rPr>
      <w:rFonts w:ascii="Times New Roman" w:hAnsi="Times New Roman" w:cs="Times New Roman"/>
      <w:color w:val="000000"/>
    </w:rPr>
  </w:style>
  <w:style w:type="paragraph" w:customStyle="1" w:styleId="a6">
    <w:name w:val="a6"/>
    <w:pPr>
      <w:suppressAutoHyphens/>
      <w:spacing w:after="120"/>
      <w:ind w:left="1134"/>
      <w:jc w:val="both"/>
    </w:pPr>
    <w:rPr>
      <w:bCs/>
      <w:iCs/>
      <w:lang w:eastAsia="zh-CN"/>
    </w:rPr>
  </w:style>
  <w:style w:type="paragraph" w:styleId="Recuodecorpodetexto">
    <w:name w:val="Body Text Indent"/>
    <w:basedOn w:val="Normal"/>
    <w:pPr>
      <w:spacing w:after="120"/>
      <w:ind w:left="283"/>
    </w:pPr>
    <w:rPr>
      <w:rFonts w:ascii="Times New Roman" w:hAnsi="Times New Roman" w:cs="Times New Roman"/>
      <w:szCs w:val="22"/>
    </w:rPr>
  </w:style>
  <w:style w:type="paragraph" w:styleId="Textodenotaderodap">
    <w:name w:val="footnote text"/>
    <w:basedOn w:val="Normal"/>
    <w:pPr>
      <w:widowControl w:val="0"/>
      <w:suppressLineNumbers/>
      <w:ind w:left="283" w:hanging="283"/>
    </w:pPr>
    <w:rPr>
      <w:rFonts w:ascii="Times New Roman" w:eastAsia="Arial Unicode MS" w:hAnsi="Times New Roman" w:cs="Times New Roman"/>
      <w:sz w:val="20"/>
      <w:szCs w:val="20"/>
    </w:rPr>
  </w:style>
  <w:style w:type="paragraph" w:customStyle="1" w:styleId="SombreamentoMdio1-nfase31">
    <w:name w:val="Sombreamento Médio 1 - Ênfase 31"/>
    <w:basedOn w:val="Normal"/>
    <w:next w:val="Normal"/>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i/>
      <w:iCs/>
      <w:color w:val="000000"/>
      <w:sz w:val="20"/>
    </w:rPr>
  </w:style>
  <w:style w:type="paragraph" w:customStyle="1" w:styleId="Textodecomentrio1">
    <w:name w:val="Texto de comentário1"/>
    <w:basedOn w:val="Normal"/>
    <w:rPr>
      <w:sz w:val="20"/>
      <w:szCs w:val="20"/>
    </w:rPr>
  </w:style>
  <w:style w:type="paragraph" w:customStyle="1" w:styleId="Citao1">
    <w:name w:val="Citação1"/>
    <w:basedOn w:val="Normal"/>
    <w:next w:val="Normal"/>
    <w:link w:val="QuoteChar"/>
    <w:qFormat/>
    <w:pPr>
      <w:pBdr>
        <w:top w:val="single" w:sz="4" w:space="1" w:color="000080"/>
        <w:left w:val="single" w:sz="4" w:space="4" w:color="000080"/>
        <w:bottom w:val="single" w:sz="4" w:space="1" w:color="000080"/>
        <w:right w:val="single" w:sz="4" w:space="4" w:color="000080"/>
      </w:pBdr>
      <w:shd w:val="clear" w:color="auto" w:fill="FFFFCC"/>
      <w:spacing w:before="120"/>
      <w:jc w:val="both"/>
    </w:pPr>
    <w:rPr>
      <w:rFonts w:eastAsia="Calibri" w:cs="Times New Roman"/>
      <w:i/>
      <w:iCs/>
      <w:color w:val="000000"/>
      <w:sz w:val="20"/>
      <w:lang w:val="x-none"/>
    </w:rPr>
  </w:style>
  <w:style w:type="paragraph" w:customStyle="1" w:styleId="Assuntodocomentrio1">
    <w:name w:val="Assunto do comentário1"/>
    <w:basedOn w:val="Textodecomentrio1"/>
    <w:next w:val="Textodecomentrio1"/>
    <w:rPr>
      <w:b/>
      <w:bCs/>
    </w:rPr>
  </w:style>
  <w:style w:type="paragraph" w:customStyle="1" w:styleId="PargrafodaLista1">
    <w:name w:val="Parágrafo da Lista1"/>
    <w:basedOn w:val="Normal"/>
    <w:qFormat/>
    <w:pPr>
      <w:ind w:left="720"/>
    </w:pPr>
  </w:style>
  <w:style w:type="paragraph" w:customStyle="1" w:styleId="Textodecomentrio2">
    <w:name w:val="Texto de comentário2"/>
    <w:basedOn w:val="Normal"/>
    <w:rPr>
      <w:sz w:val="20"/>
      <w:szCs w:val="20"/>
    </w:rPr>
  </w:style>
  <w:style w:type="paragraph" w:styleId="Cabealho">
    <w:name w:val="header"/>
    <w:basedOn w:val="Normal"/>
    <w:uiPriority w:val="99"/>
    <w:pPr>
      <w:tabs>
        <w:tab w:val="center" w:pos="4252"/>
        <w:tab w:val="right" w:pos="8504"/>
      </w:tabs>
    </w:pPr>
  </w:style>
  <w:style w:type="paragraph" w:styleId="Rodap">
    <w:name w:val="footer"/>
    <w:basedOn w:val="Normal"/>
    <w:pPr>
      <w:tabs>
        <w:tab w:val="center" w:pos="4252"/>
        <w:tab w:val="right" w:pos="8504"/>
      </w:tabs>
    </w:pPr>
  </w:style>
  <w:style w:type="paragraph" w:styleId="Textodebalo">
    <w:name w:val="Balloon Text"/>
    <w:basedOn w:val="Normal"/>
    <w:link w:val="TextodebaloChar1"/>
    <w:uiPriority w:val="99"/>
    <w:semiHidden/>
    <w:unhideWhenUsed/>
    <w:rsid w:val="00B05D91"/>
    <w:rPr>
      <w:rFonts w:ascii="Segoe UI" w:hAnsi="Segoe UI" w:cs="Segoe UI"/>
      <w:sz w:val="18"/>
      <w:szCs w:val="18"/>
    </w:rPr>
  </w:style>
  <w:style w:type="character" w:customStyle="1" w:styleId="TextodebaloChar1">
    <w:name w:val="Texto de balão Char1"/>
    <w:link w:val="Textodebalo"/>
    <w:uiPriority w:val="99"/>
    <w:semiHidden/>
    <w:rsid w:val="00B05D91"/>
    <w:rPr>
      <w:rFonts w:ascii="Segoe UI" w:hAnsi="Segoe UI" w:cs="Segoe UI"/>
      <w:sz w:val="18"/>
      <w:szCs w:val="18"/>
      <w:lang w:val="pt-BR" w:eastAsia="zh-CN"/>
    </w:rPr>
  </w:style>
  <w:style w:type="paragraph" w:customStyle="1" w:styleId="GradeMdia1-nfase21">
    <w:name w:val="Grade Média 1 - Ênfase 21"/>
    <w:basedOn w:val="Normal"/>
    <w:uiPriority w:val="34"/>
    <w:qFormat/>
    <w:rsid w:val="008C1A93"/>
    <w:pPr>
      <w:widowControl w:val="0"/>
      <w:ind w:left="720"/>
      <w:contextualSpacing/>
    </w:pPr>
    <w:rPr>
      <w:rFonts w:ascii="Times New Roman" w:eastAsia="Arial Unicode MS" w:hAnsi="Times New Roman" w:cs="Times New Roman"/>
      <w:szCs w:val="20"/>
      <w:lang w:eastAsia="pt-BR"/>
    </w:rPr>
  </w:style>
  <w:style w:type="paragraph" w:customStyle="1" w:styleId="GradeMdia2-nfase21">
    <w:name w:val="Grade Média 2 - Ênfase 21"/>
    <w:basedOn w:val="Normal"/>
    <w:next w:val="Normal"/>
    <w:link w:val="MediumGrid2-Accent2Char"/>
    <w:qFormat/>
    <w:rsid w:val="008C1A93"/>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cs="Ecofont_Spranq_eco_Sans"/>
      <w:i/>
      <w:iCs/>
      <w:color w:val="000000"/>
      <w:sz w:val="20"/>
      <w:lang w:val="x-none" w:eastAsia="pt-BR"/>
    </w:rPr>
  </w:style>
  <w:style w:type="character" w:customStyle="1" w:styleId="CitaoChar1">
    <w:name w:val="Citação Char1"/>
    <w:uiPriority w:val="29"/>
    <w:rsid w:val="008C1A93"/>
    <w:rPr>
      <w:rFonts w:ascii="Ecofont_Spranq_eco_Sans" w:hAnsi="Ecofont_Spranq_eco_Sans" w:cs="Tahoma"/>
      <w:i/>
      <w:iCs/>
      <w:color w:val="404040"/>
      <w:sz w:val="24"/>
      <w:szCs w:val="24"/>
      <w:lang w:eastAsia="zh-CN"/>
    </w:rPr>
  </w:style>
  <w:style w:type="character" w:styleId="Refdecomentrio">
    <w:name w:val="annotation reference"/>
    <w:uiPriority w:val="99"/>
    <w:unhideWhenUsed/>
    <w:rsid w:val="008C1A93"/>
    <w:rPr>
      <w:sz w:val="16"/>
      <w:szCs w:val="16"/>
    </w:rPr>
  </w:style>
  <w:style w:type="paragraph" w:styleId="Textodecomentrio">
    <w:name w:val="annotation text"/>
    <w:basedOn w:val="Normal"/>
    <w:link w:val="TextodecomentrioChar"/>
    <w:uiPriority w:val="99"/>
    <w:unhideWhenUsed/>
    <w:rsid w:val="008C1A93"/>
    <w:pPr>
      <w:widowControl w:val="0"/>
    </w:pPr>
    <w:rPr>
      <w:sz w:val="20"/>
      <w:szCs w:val="20"/>
      <w:lang w:eastAsia="pt-BR"/>
    </w:rPr>
  </w:style>
  <w:style w:type="character" w:customStyle="1" w:styleId="TextodecomentrioChar2">
    <w:name w:val="Texto de comentário Char2"/>
    <w:uiPriority w:val="99"/>
    <w:semiHidden/>
    <w:rsid w:val="008C1A93"/>
    <w:rPr>
      <w:rFonts w:ascii="Ecofont_Spranq_eco_Sans" w:hAnsi="Ecofont_Spranq_eco_Sans" w:cs="Tahoma"/>
      <w:lang w:eastAsia="zh-CN"/>
    </w:rPr>
  </w:style>
  <w:style w:type="paragraph" w:customStyle="1" w:styleId="GradeColorida-nfase11">
    <w:name w:val="Grade Colorida - Ênfase 11"/>
    <w:basedOn w:val="Normal"/>
    <w:next w:val="Normal"/>
    <w:link w:val="ColorfulGrid-Accent1Char"/>
    <w:uiPriority w:val="29"/>
    <w:qFormat/>
    <w:rsid w:val="00D04412"/>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eastAsia="Calibri"/>
      <w:i/>
      <w:iCs/>
      <w:color w:val="000000"/>
      <w:sz w:val="20"/>
      <w:lang w:eastAsia="en-US"/>
    </w:rPr>
  </w:style>
  <w:style w:type="character" w:customStyle="1" w:styleId="ColorfulGrid-Accent1Char">
    <w:name w:val="Colorful Grid - Accent 1 Char"/>
    <w:link w:val="GradeColorida-nfase11"/>
    <w:uiPriority w:val="29"/>
    <w:rsid w:val="00D04412"/>
    <w:rPr>
      <w:rFonts w:ascii="Ecofont_Spranq_eco_Sans" w:eastAsia="Calibri" w:hAnsi="Ecofont_Spranq_eco_Sans" w:cs="Tahoma"/>
      <w:i/>
      <w:iCs/>
      <w:color w:val="000000"/>
      <w:szCs w:val="24"/>
      <w:shd w:val="clear" w:color="auto" w:fill="FFFFCC"/>
    </w:rPr>
  </w:style>
  <w:style w:type="paragraph" w:styleId="Assuntodocomentrio">
    <w:name w:val="annotation subject"/>
    <w:basedOn w:val="Textodecomentrio"/>
    <w:next w:val="Textodecomentrio"/>
    <w:link w:val="AssuntodocomentrioChar1"/>
    <w:uiPriority w:val="99"/>
    <w:semiHidden/>
    <w:unhideWhenUsed/>
    <w:rsid w:val="005A38B3"/>
    <w:pPr>
      <w:widowControl/>
    </w:pPr>
    <w:rPr>
      <w:b/>
      <w:bCs/>
      <w:lang w:eastAsia="zh-CN"/>
    </w:rPr>
  </w:style>
  <w:style w:type="character" w:customStyle="1" w:styleId="AssuntodocomentrioChar1">
    <w:name w:val="Assunto do comentário Char1"/>
    <w:link w:val="Assuntodocomentrio"/>
    <w:uiPriority w:val="99"/>
    <w:semiHidden/>
    <w:rsid w:val="005A38B3"/>
    <w:rPr>
      <w:rFonts w:ascii="Ecofont_Spranq_eco_Sans" w:hAnsi="Ecofont_Spranq_eco_Sans" w:cs="Tahoma"/>
      <w:b/>
      <w:bCs/>
      <w:lang w:eastAsia="zh-CN"/>
    </w:rPr>
  </w:style>
  <w:style w:type="character" w:customStyle="1" w:styleId="Ttulo3Char">
    <w:name w:val="Título 3 Char"/>
    <w:basedOn w:val="Fontepargpadro"/>
    <w:link w:val="Ttulo3"/>
    <w:uiPriority w:val="9"/>
    <w:semiHidden/>
    <w:rsid w:val="00C672B4"/>
    <w:rPr>
      <w:rFonts w:asciiTheme="majorHAnsi" w:eastAsiaTheme="majorEastAsia" w:hAnsiTheme="majorHAnsi" w:cstheme="majorBidi"/>
      <w:color w:val="1F3763" w:themeColor="accent1" w:themeShade="7F"/>
      <w:sz w:val="24"/>
      <w:szCs w:val="24"/>
      <w:lang w:val="pt-BR" w:eastAsia="zh-CN"/>
    </w:rPr>
  </w:style>
  <w:style w:type="character" w:customStyle="1" w:styleId="MenoPendente1">
    <w:name w:val="Menção Pendente1"/>
    <w:basedOn w:val="Fontepargpadro"/>
    <w:uiPriority w:val="99"/>
    <w:semiHidden/>
    <w:unhideWhenUsed/>
    <w:rsid w:val="00A70973"/>
    <w:rPr>
      <w:color w:val="808080"/>
      <w:shd w:val="clear" w:color="auto" w:fill="E6E6E6"/>
    </w:rPr>
  </w:style>
  <w:style w:type="character" w:customStyle="1" w:styleId="GradeColorida-nfase1Char">
    <w:name w:val="Grade Colorida - Ênfase 1 Char"/>
    <w:rsid w:val="000A5CCE"/>
    <w:rPr>
      <w:rFonts w:ascii="Ecofont_Spranq_eco_Sans" w:eastAsia="Calibri" w:hAnsi="Ecofont_Spranq_eco_Sans" w:cs="Ecofont_Spranq_eco_Sans"/>
      <w:i/>
      <w:iCs/>
      <w:color w:val="000000"/>
      <w:szCs w:val="24"/>
      <w:shd w:val="clear" w:color="auto" w:fill="FFFFCC"/>
      <w:lang w:val="x-none"/>
    </w:rPr>
  </w:style>
  <w:style w:type="paragraph" w:styleId="Citao">
    <w:name w:val="Quote"/>
    <w:basedOn w:val="Normal"/>
    <w:next w:val="Normal"/>
    <w:link w:val="CitaoChar"/>
    <w:uiPriority w:val="29"/>
    <w:qFormat/>
    <w:rsid w:val="00C40535"/>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rFonts w:ascii="Arial" w:eastAsia="Calibri" w:hAnsi="Arial" w:cs="Times New Roman"/>
      <w:i/>
      <w:iCs/>
      <w:color w:val="000000"/>
      <w:sz w:val="20"/>
      <w:lang w:val="x-none" w:eastAsia="en-US"/>
    </w:rPr>
  </w:style>
  <w:style w:type="character" w:customStyle="1" w:styleId="CitaoChar">
    <w:name w:val="Citação Char"/>
    <w:basedOn w:val="Fontepargpadro"/>
    <w:link w:val="Citao"/>
    <w:uiPriority w:val="29"/>
    <w:rsid w:val="00C40535"/>
    <w:rPr>
      <w:rFonts w:ascii="Arial" w:eastAsia="Calibri" w:hAnsi="Arial"/>
      <w:i/>
      <w:iCs/>
      <w:color w:val="000000"/>
      <w:szCs w:val="24"/>
      <w:shd w:val="clear" w:color="auto" w:fill="FFFFCC"/>
      <w:lang w:val="x-none" w:eastAsia="en-US"/>
    </w:rPr>
  </w:style>
  <w:style w:type="table" w:styleId="Tabelacomgrade">
    <w:name w:val="Table Grid"/>
    <w:basedOn w:val="Tabelanormal"/>
    <w:uiPriority w:val="39"/>
    <w:rsid w:val="003D6CB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grafodaLista">
    <w:name w:val="List Paragraph"/>
    <w:basedOn w:val="Normal"/>
    <w:uiPriority w:val="34"/>
    <w:qFormat/>
    <w:rsid w:val="005C354C"/>
    <w:pPr>
      <w:suppressAutoHyphens w:val="0"/>
      <w:ind w:left="720"/>
      <w:contextualSpacing/>
    </w:pPr>
    <w:rPr>
      <w:rFonts w:ascii="Arial" w:hAnsi="Arial"/>
      <w:sz w:val="20"/>
      <w:lang w:eastAsia="pt-BR"/>
    </w:rPr>
  </w:style>
  <w:style w:type="paragraph" w:customStyle="1" w:styleId="Nivel1">
    <w:name w:val="Nivel1"/>
    <w:basedOn w:val="Ttulo1"/>
    <w:link w:val="Nivel1Char"/>
    <w:qFormat/>
    <w:rsid w:val="005C354C"/>
    <w:pPr>
      <w:numPr>
        <w:numId w:val="14"/>
      </w:numPr>
      <w:suppressAutoHyphens w:val="0"/>
      <w:spacing w:line="276" w:lineRule="auto"/>
      <w:jc w:val="both"/>
    </w:pPr>
    <w:rPr>
      <w:rFonts w:ascii="Arial" w:hAnsi="Arial"/>
      <w:bCs w:val="0"/>
      <w:color w:val="000000"/>
      <w:lang w:eastAsia="pt-BR"/>
    </w:rPr>
  </w:style>
  <w:style w:type="character" w:customStyle="1" w:styleId="Nivel1Char">
    <w:name w:val="Nivel1 Char"/>
    <w:basedOn w:val="Ttulo1Char"/>
    <w:link w:val="Nivel1"/>
    <w:rsid w:val="005C354C"/>
    <w:rPr>
      <w:rFonts w:ascii="Arial" w:eastAsiaTheme="majorEastAsia" w:hAnsi="Arial" w:cstheme="majorBidi"/>
      <w:b/>
      <w:bCs w:val="0"/>
      <w:color w:val="000000"/>
      <w:sz w:val="28"/>
      <w:szCs w:val="28"/>
      <w:lang w:val="pt-BR" w:eastAsia="pt-BR"/>
    </w:rPr>
  </w:style>
  <w:style w:type="character" w:customStyle="1" w:styleId="Ttulo1Char">
    <w:name w:val="Título 1 Char"/>
    <w:basedOn w:val="Fontepargpadro"/>
    <w:link w:val="Ttulo1"/>
    <w:uiPriority w:val="9"/>
    <w:rsid w:val="005C354C"/>
    <w:rPr>
      <w:rFonts w:asciiTheme="majorHAnsi" w:eastAsiaTheme="majorEastAsia" w:hAnsiTheme="majorHAnsi" w:cstheme="majorBidi"/>
      <w:b/>
      <w:bCs/>
      <w:color w:val="2F5496" w:themeColor="accent1" w:themeShade="BF"/>
      <w:sz w:val="28"/>
      <w:szCs w:val="28"/>
      <w:lang w:val="pt-BR" w:eastAsia="zh-CN"/>
    </w:rPr>
  </w:style>
  <w:style w:type="paragraph" w:customStyle="1" w:styleId="ListaColorida-nfase11">
    <w:name w:val="Lista Colorida - Ênfase 11"/>
    <w:basedOn w:val="Normal"/>
    <w:uiPriority w:val="34"/>
    <w:qFormat/>
    <w:rsid w:val="00943EDB"/>
    <w:pPr>
      <w:widowControl w:val="0"/>
      <w:ind w:left="720"/>
      <w:contextualSpacing/>
    </w:pPr>
    <w:rPr>
      <w:rFonts w:ascii="Times New Roman" w:eastAsia="Arial Unicode MS" w:hAnsi="Times New Roman" w:cs="Times New Roman"/>
      <w:szCs w:val="20"/>
      <w:lang w:eastAsia="pt-BR"/>
    </w:rPr>
  </w:style>
  <w:style w:type="paragraph" w:customStyle="1" w:styleId="PargrafodaLista2">
    <w:name w:val="Parágrafo da Lista2"/>
    <w:basedOn w:val="Normal"/>
    <w:rsid w:val="00943EDB"/>
    <w:pPr>
      <w:suppressAutoHyphens w:val="0"/>
      <w:ind w:left="720"/>
    </w:pPr>
    <w:rPr>
      <w:lang w:eastAsia="pt-BR"/>
    </w:rPr>
  </w:style>
  <w:style w:type="paragraph" w:customStyle="1" w:styleId="GradeColorida-nfase110">
    <w:name w:val="Grade Colorida - Ênfase 110"/>
    <w:basedOn w:val="Normal"/>
    <w:next w:val="Normal"/>
    <w:rsid w:val="00943EDB"/>
    <w:pPr>
      <w:pBdr>
        <w:top w:val="single" w:sz="4" w:space="1" w:color="1F497D"/>
        <w:left w:val="single" w:sz="4" w:space="4" w:color="1F497D"/>
        <w:bottom w:val="single" w:sz="4" w:space="1" w:color="1F497D"/>
        <w:right w:val="single" w:sz="4" w:space="4" w:color="1F497D"/>
      </w:pBdr>
      <w:shd w:val="clear" w:color="auto" w:fill="FFFFCC"/>
      <w:suppressAutoHyphens w:val="0"/>
      <w:spacing w:before="120"/>
      <w:jc w:val="both"/>
    </w:pPr>
    <w:rPr>
      <w:i/>
      <w:color w:val="000000"/>
      <w:lang w:eastAsia="en-US"/>
    </w:rPr>
  </w:style>
  <w:style w:type="character" w:customStyle="1" w:styleId="QuoteChar">
    <w:name w:val="Quote Char"/>
    <w:link w:val="Citao1"/>
    <w:rsid w:val="00A825EC"/>
    <w:rPr>
      <w:rFonts w:ascii="Ecofont_Spranq_eco_Sans" w:eastAsia="Calibri" w:hAnsi="Ecofont_Spranq_eco_Sans"/>
      <w:i/>
      <w:iCs/>
      <w:color w:val="000000"/>
      <w:szCs w:val="24"/>
      <w:shd w:val="clear" w:color="auto" w:fill="FFFFCC"/>
      <w:lang w:val="x-none" w:eastAsia="zh-CN"/>
    </w:r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left w:w="108" w:type="dxa"/>
        <w:right w:w="108" w:type="dxa"/>
      </w:tblCellMar>
    </w:tblPr>
  </w:style>
  <w:style w:type="table" w:customStyle="1" w:styleId="a1">
    <w:basedOn w:val="TableNormal"/>
    <w:tblPr>
      <w:tblStyleRowBandSize w:val="1"/>
      <w:tblStyleColBandSize w:val="1"/>
      <w:tblCellMar>
        <w:top w:w="75" w:type="dxa"/>
        <w:left w:w="75" w:type="dxa"/>
        <w:bottom w:w="75" w:type="dxa"/>
        <w:right w:w="75" w:type="dxa"/>
      </w:tblCellMar>
    </w:tblPr>
  </w:style>
  <w:style w:type="table" w:customStyle="1" w:styleId="a2">
    <w:basedOn w:val="TableNormal"/>
    <w:tblPr>
      <w:tblStyleRowBandSize w:val="1"/>
      <w:tblStyleColBandSize w:val="1"/>
      <w:tblCellMar>
        <w:top w:w="75" w:type="dxa"/>
        <w:left w:w="75" w:type="dxa"/>
        <w:bottom w:w="75" w:type="dxa"/>
        <w:right w:w="7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27CbzsBa006iyshKbJBYF6HxVAQ==">AMUW2mV8QpX9zDpe3VERLMAAnVxI0ncXkxx2ADafbmtpZZuAXiChH3zikCyHET8XZk0L6Jn621kJih4FqjF+cwwJxlfcTJDewItxRQUgQ+nOvY9vy51xTXTn8QaFdtmF2IAKARgLJ+r8</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27</Pages>
  <Words>10553</Words>
  <Characters>56989</Characters>
  <Application>Microsoft Office Word</Application>
  <DocSecurity>0</DocSecurity>
  <Lines>474</Lines>
  <Paragraphs>134</Paragraphs>
  <ScaleCrop>false</ScaleCrop>
  <Company/>
  <LinksUpToDate>false</LinksUpToDate>
  <CharactersWithSpaces>67408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EDUARDO DOTTI</dc:creator>
  <cp:lastModifiedBy>Usuario</cp:lastModifiedBy>
  <cp:revision>5</cp:revision>
  <dcterms:created xsi:type="dcterms:W3CDTF">2020-05-22T21:10:00Z</dcterms:created>
  <dcterms:modified xsi:type="dcterms:W3CDTF">2020-11-06T16:52:00Z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