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ANEXO III – MODELO DE PROPOSTA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PREGÃO SRP Nº 19/2021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ab/>
              <w:tab/>
              <w:t xml:space="preserve">Banco (cod.):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Agência (cód.):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Conta-Corrente:</w:t>
            </w:r>
          </w:p>
        </w:tc>
      </w:tr>
    </w:tbl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highlight w:val="yellow"/>
          <w:rtl w:val="0"/>
        </w:rPr>
        <w:t xml:space="preserve">(INSERINDO AS INFORMAÇÕES REFERENTE AO GRUPO/ITENS PERTINENTE, EXEMPLO ABAIXO GRUPO 1)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380.0" w:type="dxa"/>
        <w:jc w:val="left"/>
        <w:tblInd w:w="-729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543"/>
        <w:gridCol w:w="3847"/>
        <w:gridCol w:w="1380"/>
        <w:gridCol w:w="1338"/>
        <w:gridCol w:w="1139"/>
        <w:gridCol w:w="993"/>
        <w:gridCol w:w="1140"/>
        <w:tblGridChange w:id="0">
          <w:tblGrid>
            <w:gridCol w:w="543"/>
            <w:gridCol w:w="3847"/>
            <w:gridCol w:w="1380"/>
            <w:gridCol w:w="1338"/>
            <w:gridCol w:w="1139"/>
            <w:gridCol w:w="993"/>
            <w:gridCol w:w="114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GRUPO 01 - CAMPUS ALEGRETE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MARCA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VALOR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VALOR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Descrição sucinta do objeto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Unidade de fornecimento</w:t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QTDE ESTIMADA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UNITÁRIO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TOTAL</w:t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both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rtl w:val="0"/>
              </w:rPr>
              <w:t xml:space="preserve">CARGA DE GÁS REFINO DE PETRÓLEO, TIPO: GÁS LIQUEFEITO DE PETRÓLEO - GLP, USO: DOMÉSTICO, MODELO DO BOTIJÃO P13. A RECARGA SE DARÁ MEDIANTE TROCA DO BOTIJÃO VAZIO PELO BOTIJÃO CARREGADO. A RECARGA SERÁ EQUIVALENTE A 13 QUILOGRAMAS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rtl w:val="0"/>
              </w:rPr>
              <w:t xml:space="preserve">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both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rtl w:val="0"/>
              </w:rPr>
              <w:t xml:space="preserve">CARGA DE GÁS REFINO DE PETRÓLEO, TIPO: GÁS LIQUEFEITO DE PETRÓLEO - GLP, USO: DOMÉSTICO, MODELO DO BOTIJÃO P45. A RECARGA SE DARÁ MEDIANTE TROCA DO BOTIJÃO VAZIO PELO BOTIJÃO CARREGADO. A RECARGA SERÁ EQUIVALENTE A 45 QUILOGRAMAS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rtl w:val="0"/>
              </w:rPr>
              <w:t xml:space="preserve">16.200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TOTAL: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Carimbo padronizado do CNPJ: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Os preços contidos na proposta incluem todos os custos e despesas, tais como: custos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diretos e indiretos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24"/>
          <w:szCs w:val="24"/>
          <w:rtl w:val="0"/>
        </w:rPr>
        <w:t xml:space="preserve">fretes, seguros, etc.)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, tributos incidentes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24"/>
          <w:szCs w:val="24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…………..,     DE ……….DE 202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C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______________________________</w:t>
      </w:r>
    </w:p>
    <w:p w:rsidR="00000000" w:rsidDel="00000000" w:rsidP="00000000" w:rsidRDefault="00000000" w:rsidRPr="00000000" w14:paraId="0000005E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Assinatura do responsável pela empresa </w:t>
      </w:r>
    </w:p>
    <w:sectPr>
      <w:headerReference r:id="rId6" w:type="default"/>
      <w:pgSz w:h="16838" w:w="11906" w:orient="portrait"/>
      <w:pgMar w:bottom="1134" w:top="2176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3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color w:val="000000"/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Instituto Federal de Educação, Ciência e Tecnologia Farroupilha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2697960</wp:posOffset>
          </wp:positionH>
          <wp:positionV relativeFrom="paragraph">
            <wp:posOffset>-276224</wp:posOffset>
          </wp:positionV>
          <wp:extent cx="724535" cy="613410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4535" cy="6134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0">
    <w:pPr>
      <w:tabs>
        <w:tab w:val="left" w:pos="30"/>
      </w:tabs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color w:val="000000"/>
        <w:sz w:val="22"/>
        <w:szCs w:val="22"/>
        <w:rtl w:val="0"/>
      </w:rPr>
      <w:t xml:space="preserve">Reitoria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40.0" w:type="dxa"/>
        <w:left w:w="31.0" w:type="dxa"/>
        <w:bottom w:w="4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