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160" w:before="160" w:lineRule="auto"/>
        <w:jc w:val="center"/>
        <w:rPr>
          <w:rFonts w:ascii="Verdana" w:cs="Verdana" w:eastAsia="Verdana" w:hAnsi="Verdana"/>
          <w:b w:val="1"/>
          <w:sz w:val="20"/>
          <w:szCs w:val="20"/>
        </w:rPr>
      </w:pPr>
      <w:r w:rsidDel="00000000" w:rsidR="00000000" w:rsidRPr="00000000">
        <w:rPr>
          <w:rFonts w:ascii="Verdana" w:cs="Verdana" w:eastAsia="Verdana" w:hAnsi="Verdana"/>
          <w:b w:val="1"/>
          <w:sz w:val="20"/>
          <w:szCs w:val="20"/>
          <w:rtl w:val="0"/>
        </w:rPr>
        <w:t xml:space="preserve">INSTRUMENTO DE MENSURAÇÃO DE RESULTADO - IMR</w:t>
      </w:r>
    </w:p>
    <w:p w:rsidR="00000000" w:rsidDel="00000000" w:rsidP="00000000" w:rsidRDefault="00000000" w:rsidRPr="00000000" w14:paraId="00000002">
      <w:pPr>
        <w:spacing w:after="160" w:before="160" w:lineRule="auto"/>
        <w:jc w:val="center"/>
        <w:rPr>
          <w:rFonts w:ascii="Verdana" w:cs="Verdana" w:eastAsia="Verdana" w:hAnsi="Verdana"/>
          <w:b w:val="1"/>
          <w:sz w:val="20"/>
          <w:szCs w:val="20"/>
        </w:rPr>
      </w:pPr>
      <w:r w:rsidDel="00000000" w:rsidR="00000000" w:rsidRPr="00000000">
        <w:rPr>
          <w:rFonts w:ascii="Verdana" w:cs="Verdana" w:eastAsia="Verdana" w:hAnsi="Verdana"/>
          <w:b w:val="1"/>
          <w:sz w:val="20"/>
          <w:szCs w:val="20"/>
          <w:rtl w:val="0"/>
        </w:rPr>
        <w:t xml:space="preserve">SERVIÇOS COM DEDICAÇÃO EXCLUSIVA DE MÃO DE OBRA</w:t>
      </w:r>
    </w:p>
    <w:p w:rsidR="00000000" w:rsidDel="00000000" w:rsidP="00000000" w:rsidRDefault="00000000" w:rsidRPr="00000000" w14:paraId="00000003">
      <w:pPr>
        <w:spacing w:after="160" w:before="160" w:lineRule="auto"/>
        <w:jc w:val="center"/>
        <w:rPr>
          <w:rFonts w:ascii="Verdana" w:cs="Verdana" w:eastAsia="Verdana" w:hAnsi="Verdana"/>
          <w:b w:val="1"/>
          <w:sz w:val="20"/>
          <w:szCs w:val="20"/>
        </w:rPr>
      </w:pPr>
      <w:r w:rsidDel="00000000" w:rsidR="00000000" w:rsidRPr="00000000">
        <w:rPr>
          <w:rFonts w:ascii="Verdana" w:cs="Verdana" w:eastAsia="Verdana" w:hAnsi="Verdana"/>
          <w:b w:val="1"/>
          <w:sz w:val="20"/>
          <w:szCs w:val="20"/>
          <w:rtl w:val="0"/>
        </w:rPr>
        <w:t xml:space="preserve">CONTRATO __/20__</w:t>
      </w:r>
    </w:p>
    <w:p w:rsidR="00000000" w:rsidDel="00000000" w:rsidP="00000000" w:rsidRDefault="00000000" w:rsidRPr="00000000" w14:paraId="00000004">
      <w:pPr>
        <w:spacing w:after="160" w:before="160" w:lineRule="auto"/>
        <w:jc w:val="center"/>
        <w:rPr>
          <w:rFonts w:ascii="Verdana" w:cs="Verdana" w:eastAsia="Verdana" w:hAnsi="Verdana"/>
          <w:b w:val="1"/>
          <w:sz w:val="20"/>
          <w:szCs w:val="20"/>
        </w:rPr>
      </w:pPr>
      <w:r w:rsidDel="00000000" w:rsidR="00000000" w:rsidRPr="00000000">
        <w:rPr>
          <w:rFonts w:ascii="Verdana" w:cs="Verdana" w:eastAsia="Verdana" w:hAnsi="Verdana"/>
          <w:b w:val="1"/>
          <w:sz w:val="20"/>
          <w:szCs w:val="20"/>
          <w:rtl w:val="0"/>
        </w:rPr>
        <w:t xml:space="preserve">NOME DA EMPRESA</w:t>
      </w:r>
    </w:p>
    <w:p w:rsidR="00000000" w:rsidDel="00000000" w:rsidP="00000000" w:rsidRDefault="00000000" w:rsidRPr="00000000" w14:paraId="00000005">
      <w:pPr>
        <w:spacing w:after="160" w:before="160" w:lineRule="auto"/>
        <w:jc w:val="center"/>
        <w:rPr>
          <w:rFonts w:ascii="Verdana" w:cs="Verdana" w:eastAsia="Verdana" w:hAnsi="Verdana"/>
          <w:b w:val="1"/>
          <w:color w:val="ff0000"/>
          <w:sz w:val="20"/>
          <w:szCs w:val="20"/>
        </w:rPr>
      </w:pPr>
      <w:r w:rsidDel="00000000" w:rsidR="00000000" w:rsidRPr="00000000">
        <w:rPr>
          <w:rFonts w:ascii="Verdana" w:cs="Verdana" w:eastAsia="Verdana" w:hAnsi="Verdana"/>
          <w:b w:val="1"/>
          <w:color w:val="ff0000"/>
          <w:sz w:val="20"/>
          <w:szCs w:val="20"/>
          <w:rtl w:val="0"/>
        </w:rPr>
        <w:t xml:space="preserve">MÊS DE ANÁLISE (MÊS DA COMPETÊNCIA)</w:t>
      </w:r>
    </w:p>
    <w:p w:rsidR="00000000" w:rsidDel="00000000" w:rsidP="00000000" w:rsidRDefault="00000000" w:rsidRPr="00000000" w14:paraId="00000006">
      <w:pPr>
        <w:spacing w:after="160" w:before="160" w:lineRule="auto"/>
        <w:jc w:val="both"/>
        <w:rPr>
          <w:rFonts w:ascii="Verdana" w:cs="Verdana" w:eastAsia="Verdana" w:hAnsi="Verdana"/>
          <w:sz w:val="20"/>
          <w:szCs w:val="20"/>
        </w:rPr>
      </w:pPr>
      <w:r w:rsidDel="00000000" w:rsidR="00000000" w:rsidRPr="00000000">
        <w:rPr>
          <w:rFonts w:ascii="Verdana" w:cs="Verdana" w:eastAsia="Verdana" w:hAnsi="Verdana"/>
          <w:b w:val="1"/>
          <w:color w:val="ff0000"/>
          <w:sz w:val="20"/>
          <w:szCs w:val="20"/>
          <w:rtl w:val="0"/>
        </w:rPr>
        <w:br w:type="textWrapping"/>
      </w:r>
      <w:r w:rsidDel="00000000" w:rsidR="00000000" w:rsidRPr="00000000">
        <w:rPr>
          <w:rFonts w:ascii="Verdana" w:cs="Verdana" w:eastAsia="Verdana" w:hAnsi="Verdana"/>
          <w:sz w:val="20"/>
          <w:szCs w:val="20"/>
          <w:rtl w:val="0"/>
        </w:rPr>
        <w:t xml:space="preserve">Os serviços deverão ser executados com base nos parâmetros mínimos a seguir estabelecidos, devendo ser analisadas as ocorrências de eventuais infrações que acarretarão em reduções de pagamento. Este Instrumento de Mensuração de Resultado é parte integrante do Contrato.</w:t>
      </w:r>
    </w:p>
    <w:p w:rsidR="00000000" w:rsidDel="00000000" w:rsidP="00000000" w:rsidRDefault="00000000" w:rsidRPr="00000000" w14:paraId="00000007">
      <w:pPr>
        <w:spacing w:after="160" w:before="160" w:lineRule="auto"/>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Com relação à incidência, quando não especificada, a expressão “Por Infração” corresponde a uma comunicação do Órgão para a empresa sobre a ocorrência de determinada infração, podendo essa comunicação ser via e-mail.</w:t>
      </w:r>
    </w:p>
    <w:p w:rsidR="00000000" w:rsidDel="00000000" w:rsidP="00000000" w:rsidRDefault="00000000" w:rsidRPr="00000000" w14:paraId="00000008">
      <w:pPr>
        <w:spacing w:after="160" w:before="160" w:lineRule="auto"/>
        <w:jc w:val="both"/>
        <w:rPr>
          <w:rFonts w:ascii="Verdana" w:cs="Verdana" w:eastAsia="Verdana" w:hAnsi="Verdana"/>
          <w:sz w:val="20"/>
          <w:szCs w:val="20"/>
        </w:rPr>
      </w:pPr>
      <w:r w:rsidDel="00000000" w:rsidR="00000000" w:rsidRPr="00000000">
        <w:rPr>
          <w:rtl w:val="0"/>
        </w:rPr>
      </w:r>
    </w:p>
    <w:p w:rsidR="00000000" w:rsidDel="00000000" w:rsidP="00000000" w:rsidRDefault="00000000" w:rsidRPr="00000000" w14:paraId="00000009">
      <w:pPr>
        <w:spacing w:after="160" w:before="160" w:lineRule="auto"/>
        <w:jc w:val="center"/>
        <w:rPr>
          <w:rFonts w:ascii="Verdana" w:cs="Verdana" w:eastAsia="Verdana" w:hAnsi="Verdana"/>
          <w:b w:val="1"/>
          <w:sz w:val="20"/>
          <w:szCs w:val="20"/>
        </w:rPr>
      </w:pPr>
      <w:r w:rsidDel="00000000" w:rsidR="00000000" w:rsidRPr="00000000">
        <w:rPr>
          <w:rFonts w:ascii="Verdana" w:cs="Verdana" w:eastAsia="Verdana" w:hAnsi="Verdana"/>
          <w:b w:val="1"/>
          <w:sz w:val="20"/>
          <w:szCs w:val="20"/>
          <w:rtl w:val="0"/>
        </w:rPr>
        <w:t xml:space="preserve">TABELA APLICÁVEL PARA TODOS OS POSTOS</w:t>
      </w:r>
    </w:p>
    <w:tbl>
      <w:tblPr>
        <w:tblStyle w:val="Table1"/>
        <w:tblW w:w="9015.0" w:type="dxa"/>
        <w:jc w:val="left"/>
        <w:tblBorders>
          <w:top w:color="808080" w:space="0" w:sz="6" w:val="single"/>
          <w:left w:color="808080" w:space="0" w:sz="6" w:val="single"/>
          <w:bottom w:color="808080" w:space="0" w:sz="6" w:val="single"/>
          <w:right w:color="808080" w:space="0" w:sz="6" w:val="single"/>
          <w:insideH w:color="808080" w:space="0" w:sz="6" w:val="single"/>
          <w:insideV w:color="808080" w:space="0" w:sz="6" w:val="single"/>
        </w:tblBorders>
        <w:tblLayout w:type="fixed"/>
        <w:tblLook w:val="0600"/>
      </w:tblPr>
      <w:tblGrid>
        <w:gridCol w:w="465"/>
        <w:gridCol w:w="1740"/>
        <w:gridCol w:w="3120"/>
        <w:gridCol w:w="810"/>
        <w:gridCol w:w="1515"/>
        <w:gridCol w:w="1365"/>
        <w:tblGridChange w:id="0">
          <w:tblGrid>
            <w:gridCol w:w="465"/>
            <w:gridCol w:w="1740"/>
            <w:gridCol w:w="3120"/>
            <w:gridCol w:w="810"/>
            <w:gridCol w:w="1515"/>
            <w:gridCol w:w="1365"/>
          </w:tblGrid>
        </w:tblGridChange>
      </w:tblGrid>
      <w:tr>
        <w:trPr>
          <w:cantSplit w:val="0"/>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0A">
            <w:pPr>
              <w:jc w:val="center"/>
              <w:rPr>
                <w:rFonts w:ascii="Verdana" w:cs="Verdana" w:eastAsia="Verdana" w:hAnsi="Verdana"/>
                <w:sz w:val="17"/>
                <w:szCs w:val="17"/>
              </w:rPr>
            </w:pPr>
            <w:r w:rsidDel="00000000" w:rsidR="00000000" w:rsidRPr="00000000">
              <w:rPr>
                <w:rFonts w:ascii="Verdana" w:cs="Verdana" w:eastAsia="Verdana" w:hAnsi="Verdana"/>
                <w:b w:val="1"/>
                <w:sz w:val="17"/>
                <w:szCs w:val="17"/>
                <w:rtl w:val="0"/>
              </w:rPr>
              <w:t xml:space="preserve">Nº</w:t>
            </w:r>
            <w:r w:rsidDel="00000000" w:rsidR="00000000" w:rsidRPr="00000000">
              <w:rPr>
                <w:rtl w:val="0"/>
              </w:rPr>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0B">
            <w:pPr>
              <w:jc w:val="center"/>
              <w:rPr>
                <w:rFonts w:ascii="Verdana" w:cs="Verdana" w:eastAsia="Verdana" w:hAnsi="Verdana"/>
                <w:sz w:val="17"/>
                <w:szCs w:val="17"/>
              </w:rPr>
            </w:pPr>
            <w:r w:rsidDel="00000000" w:rsidR="00000000" w:rsidRPr="00000000">
              <w:rPr>
                <w:rFonts w:ascii="Verdana" w:cs="Verdana" w:eastAsia="Verdana" w:hAnsi="Verdana"/>
                <w:b w:val="1"/>
                <w:sz w:val="17"/>
                <w:szCs w:val="17"/>
                <w:rtl w:val="0"/>
              </w:rPr>
              <w:t xml:space="preserve">ITEM AVALIADO</w:t>
            </w:r>
            <w:r w:rsidDel="00000000" w:rsidR="00000000" w:rsidRPr="00000000">
              <w:rPr>
                <w:rtl w:val="0"/>
              </w:rPr>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0C">
            <w:pPr>
              <w:jc w:val="center"/>
              <w:rPr>
                <w:rFonts w:ascii="Verdana" w:cs="Verdana" w:eastAsia="Verdana" w:hAnsi="Verdana"/>
                <w:sz w:val="17"/>
                <w:szCs w:val="17"/>
              </w:rPr>
            </w:pPr>
            <w:r w:rsidDel="00000000" w:rsidR="00000000" w:rsidRPr="00000000">
              <w:rPr>
                <w:rFonts w:ascii="Verdana" w:cs="Verdana" w:eastAsia="Verdana" w:hAnsi="Verdana"/>
                <w:b w:val="1"/>
                <w:sz w:val="17"/>
                <w:szCs w:val="17"/>
                <w:rtl w:val="0"/>
              </w:rPr>
              <w:t xml:space="preserve">INFRAÇÃO</w:t>
            </w:r>
            <w:r w:rsidDel="00000000" w:rsidR="00000000" w:rsidRPr="00000000">
              <w:rPr>
                <w:rtl w:val="0"/>
              </w:rPr>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0D">
            <w:pPr>
              <w:jc w:val="center"/>
              <w:rPr>
                <w:rFonts w:ascii="Verdana" w:cs="Verdana" w:eastAsia="Verdana" w:hAnsi="Verdana"/>
                <w:sz w:val="17"/>
                <w:szCs w:val="17"/>
              </w:rPr>
            </w:pPr>
            <w:r w:rsidDel="00000000" w:rsidR="00000000" w:rsidRPr="00000000">
              <w:rPr>
                <w:rFonts w:ascii="Verdana" w:cs="Verdana" w:eastAsia="Verdana" w:hAnsi="Verdana"/>
                <w:b w:val="1"/>
                <w:sz w:val="17"/>
                <w:szCs w:val="17"/>
                <w:rtl w:val="0"/>
              </w:rPr>
              <w:t xml:space="preserve">GRAU</w:t>
            </w:r>
            <w:r w:rsidDel="00000000" w:rsidR="00000000" w:rsidRPr="00000000">
              <w:rPr>
                <w:rtl w:val="0"/>
              </w:rPr>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0E">
            <w:pPr>
              <w:jc w:val="center"/>
              <w:rPr>
                <w:rFonts w:ascii="Verdana" w:cs="Verdana" w:eastAsia="Verdana" w:hAnsi="Verdana"/>
                <w:sz w:val="17"/>
                <w:szCs w:val="17"/>
              </w:rPr>
            </w:pPr>
            <w:r w:rsidDel="00000000" w:rsidR="00000000" w:rsidRPr="00000000">
              <w:rPr>
                <w:rFonts w:ascii="Verdana" w:cs="Verdana" w:eastAsia="Verdana" w:hAnsi="Verdana"/>
                <w:b w:val="1"/>
                <w:sz w:val="17"/>
                <w:szCs w:val="17"/>
                <w:rtl w:val="0"/>
              </w:rPr>
              <w:t xml:space="preserve">INCIDÊNCIA</w:t>
            </w:r>
            <w:r w:rsidDel="00000000" w:rsidR="00000000" w:rsidRPr="00000000">
              <w:rPr>
                <w:rtl w:val="0"/>
              </w:rPr>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0F">
            <w:pPr>
              <w:jc w:val="center"/>
              <w:rPr>
                <w:rFonts w:ascii="Verdana" w:cs="Verdana" w:eastAsia="Verdana" w:hAnsi="Verdana"/>
                <w:sz w:val="17"/>
                <w:szCs w:val="17"/>
              </w:rPr>
            </w:pPr>
            <w:r w:rsidDel="00000000" w:rsidR="00000000" w:rsidRPr="00000000">
              <w:rPr>
                <w:rFonts w:ascii="Verdana" w:cs="Verdana" w:eastAsia="Verdana" w:hAnsi="Verdana"/>
                <w:b w:val="1"/>
                <w:sz w:val="17"/>
                <w:szCs w:val="17"/>
                <w:rtl w:val="0"/>
              </w:rPr>
              <w:t xml:space="preserve">APLICAÇÃO</w:t>
            </w:r>
            <w:r w:rsidDel="00000000" w:rsidR="00000000" w:rsidRPr="00000000">
              <w:rPr>
                <w:rtl w:val="0"/>
              </w:rPr>
            </w:r>
          </w:p>
        </w:tc>
      </w:tr>
      <w:tr>
        <w:trPr>
          <w:cantSplit w:val="0"/>
          <w:trHeight w:val="735"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10">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1</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11">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Apresentação dos colaboradores</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12">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Empregado não uniformizado ou com uniforme manchado, sujo, mal apresentado e/ou sem crachá.</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13">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1</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14">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Por infração (comunicação)</w:t>
            </w:r>
            <w:r w:rsidDel="00000000" w:rsidR="00000000" w:rsidRPr="00000000">
              <w:rPr>
                <w:rtl w:val="0"/>
              </w:rPr>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15">
            <w:pPr>
              <w:jc w:val="center"/>
              <w:rPr>
                <w:rFonts w:ascii="Verdana" w:cs="Verdana" w:eastAsia="Verdana" w:hAnsi="Verdana"/>
                <w:sz w:val="17"/>
                <w:szCs w:val="17"/>
              </w:rPr>
            </w:pPr>
            <w:r w:rsidDel="00000000" w:rsidR="00000000" w:rsidRPr="00000000">
              <w:rPr>
                <w:rFonts w:ascii="Verdana" w:cs="Verdana" w:eastAsia="Verdana" w:hAnsi="Verdana"/>
                <w:color w:val="ff0000"/>
                <w:sz w:val="17"/>
                <w:szCs w:val="17"/>
                <w:rtl w:val="0"/>
              </w:rPr>
              <w:t xml:space="preserve">NÃO</w:t>
            </w:r>
            <w:r w:rsidDel="00000000" w:rsidR="00000000" w:rsidRPr="00000000">
              <w:rPr>
                <w:rtl w:val="0"/>
              </w:rPr>
            </w:r>
          </w:p>
        </w:tc>
      </w:tr>
      <w:tr>
        <w:trPr>
          <w:cantSplit w:val="0"/>
          <w:trHeight w:val="697.7922363281249"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16">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2</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17">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 Agilidade na prestação dos serviços</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18">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Tempo de execução em desacordo com a complexidade da tarefa.</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19">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 1</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1A">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Por infração (comunicação)</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1B">
            <w:pPr>
              <w:jc w:val="center"/>
              <w:rPr>
                <w:rFonts w:ascii="Verdana" w:cs="Verdana" w:eastAsia="Verdana" w:hAnsi="Verdana"/>
                <w:sz w:val="17"/>
                <w:szCs w:val="17"/>
              </w:rPr>
            </w:pPr>
            <w:r w:rsidDel="00000000" w:rsidR="00000000" w:rsidRPr="00000000">
              <w:rPr>
                <w:rFonts w:ascii="Verdana" w:cs="Verdana" w:eastAsia="Verdana" w:hAnsi="Verdana"/>
                <w:color w:val="ff0000"/>
                <w:sz w:val="17"/>
                <w:szCs w:val="17"/>
                <w:rtl w:val="0"/>
              </w:rPr>
              <w:t xml:space="preserve">NÃO</w:t>
            </w:r>
            <w:r w:rsidDel="00000000" w:rsidR="00000000" w:rsidRPr="00000000">
              <w:rPr>
                <w:rtl w:val="0"/>
              </w:rPr>
            </w:r>
          </w:p>
        </w:tc>
      </w:tr>
      <w:tr>
        <w:trPr>
          <w:cantSplit w:val="0"/>
          <w:trHeight w:val="170.3896484374998"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1C">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3</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1D">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Pontualidade nas entregas de documentações</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1E">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Atrasar a entrega de documentação mensal.</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1F">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 1</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20">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Por infração (comunicação)</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21">
            <w:pPr>
              <w:jc w:val="center"/>
              <w:rPr>
                <w:rFonts w:ascii="Verdana" w:cs="Verdana" w:eastAsia="Verdana" w:hAnsi="Verdana"/>
                <w:sz w:val="17"/>
                <w:szCs w:val="17"/>
              </w:rPr>
            </w:pPr>
            <w:r w:rsidDel="00000000" w:rsidR="00000000" w:rsidRPr="00000000">
              <w:rPr>
                <w:rFonts w:ascii="Verdana" w:cs="Verdana" w:eastAsia="Verdana" w:hAnsi="Verdana"/>
                <w:color w:val="ff0000"/>
                <w:sz w:val="17"/>
                <w:szCs w:val="17"/>
                <w:rtl w:val="0"/>
              </w:rPr>
              <w:t xml:space="preserve">NÃO</w:t>
            </w:r>
            <w:r w:rsidDel="00000000" w:rsidR="00000000" w:rsidRPr="00000000">
              <w:rPr>
                <w:rtl w:val="0"/>
              </w:rPr>
            </w:r>
          </w:p>
        </w:tc>
      </w:tr>
      <w:tr>
        <w:trPr>
          <w:cantSplit w:val="0"/>
          <w:trHeight w:val="647.9870605468749"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22">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4</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23">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Substituição de funcionários </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24">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Deixar de efetuar a reposição de funcionários em decorrência de férias ou ausências.</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25">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1</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26">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Por dia útil de infração</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27">
            <w:pPr>
              <w:jc w:val="center"/>
              <w:rPr>
                <w:rFonts w:ascii="Verdana" w:cs="Verdana" w:eastAsia="Verdana" w:hAnsi="Verdana"/>
                <w:sz w:val="17"/>
                <w:szCs w:val="17"/>
              </w:rPr>
            </w:pPr>
            <w:r w:rsidDel="00000000" w:rsidR="00000000" w:rsidRPr="00000000">
              <w:rPr>
                <w:rFonts w:ascii="Verdana" w:cs="Verdana" w:eastAsia="Verdana" w:hAnsi="Verdana"/>
                <w:color w:val="ff0000"/>
                <w:sz w:val="17"/>
                <w:szCs w:val="17"/>
                <w:rtl w:val="0"/>
              </w:rPr>
              <w:t xml:space="preserve">NÃO</w:t>
            </w:r>
            <w:r w:rsidDel="00000000" w:rsidR="00000000" w:rsidRPr="00000000">
              <w:rPr>
                <w:rtl w:val="0"/>
              </w:rPr>
            </w:r>
          </w:p>
        </w:tc>
      </w:tr>
      <w:tr>
        <w:trPr>
          <w:cantSplit w:val="0"/>
          <w:trHeight w:val="632.9870605468749"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28">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5</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29">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Uniformes</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2A">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Deixar de entregar o uniforme aos funcionários conforme a periodicidade prevista no Termo de Referência, assim como a sua substituição emergencial.</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2B">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 1</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2C">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Por mês de infração*</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2D">
            <w:pPr>
              <w:jc w:val="center"/>
              <w:rPr>
                <w:rFonts w:ascii="Verdana" w:cs="Verdana" w:eastAsia="Verdana" w:hAnsi="Verdana"/>
                <w:sz w:val="17"/>
                <w:szCs w:val="17"/>
              </w:rPr>
            </w:pPr>
            <w:r w:rsidDel="00000000" w:rsidR="00000000" w:rsidRPr="00000000">
              <w:rPr>
                <w:rFonts w:ascii="Verdana" w:cs="Verdana" w:eastAsia="Verdana" w:hAnsi="Verdana"/>
                <w:color w:val="ff0000"/>
                <w:sz w:val="17"/>
                <w:szCs w:val="17"/>
                <w:rtl w:val="0"/>
              </w:rPr>
              <w:t xml:space="preserve">NÃO</w:t>
            </w:r>
            <w:r w:rsidDel="00000000" w:rsidR="00000000" w:rsidRPr="00000000">
              <w:rPr>
                <w:rtl w:val="0"/>
              </w:rPr>
            </w:r>
          </w:p>
        </w:tc>
      </w:tr>
      <w:tr>
        <w:trPr>
          <w:cantSplit w:val="0"/>
          <w:trHeight w:val="285"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2E">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6</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2F">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 EPIs</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30">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Deixar de entregar ou repor os EPIs aos funcionários, bem como não manter os mesmos em perfeitas condições de uso</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31">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2</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32">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Por mês de infração*</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33">
            <w:pPr>
              <w:jc w:val="center"/>
              <w:rPr>
                <w:rFonts w:ascii="Verdana" w:cs="Verdana" w:eastAsia="Verdana" w:hAnsi="Verdana"/>
                <w:sz w:val="17"/>
                <w:szCs w:val="17"/>
              </w:rPr>
            </w:pPr>
            <w:r w:rsidDel="00000000" w:rsidR="00000000" w:rsidRPr="00000000">
              <w:rPr>
                <w:rFonts w:ascii="Verdana" w:cs="Verdana" w:eastAsia="Verdana" w:hAnsi="Verdana"/>
                <w:color w:val="ff0000"/>
                <w:sz w:val="17"/>
                <w:szCs w:val="17"/>
                <w:rtl w:val="0"/>
              </w:rPr>
              <w:t xml:space="preserve">NÃO</w:t>
            </w:r>
            <w:r w:rsidDel="00000000" w:rsidR="00000000" w:rsidRPr="00000000">
              <w:rPr>
                <w:rtl w:val="0"/>
              </w:rPr>
            </w:r>
          </w:p>
        </w:tc>
      </w:tr>
      <w:tr>
        <w:trPr>
          <w:cantSplit w:val="0"/>
          <w:trHeight w:val="285" w:hRule="atLeast"/>
          <w:tblHeader w:val="0"/>
        </w:trPr>
        <w:tc>
          <w:tcPr>
            <w:tcBorders>
              <w:top w:color="808080" w:space="0" w:sz="6" w:val="single"/>
              <w:left w:color="808080" w:space="0" w:sz="6" w:val="single"/>
              <w:bottom w:color="808080" w:space="0" w:sz="6" w:val="single"/>
              <w:right w:color="808080" w:space="0" w:sz="6" w:val="single"/>
            </w:tcBorders>
            <w:shd w:fill="f4cccc" w:val="clear"/>
            <w:tcMar>
              <w:top w:w="100.0" w:type="dxa"/>
              <w:left w:w="100.0" w:type="dxa"/>
              <w:bottom w:w="100.0" w:type="dxa"/>
              <w:right w:w="100.0" w:type="dxa"/>
            </w:tcMar>
            <w:vAlign w:val="center"/>
          </w:tcPr>
          <w:p w:rsidR="00000000" w:rsidDel="00000000" w:rsidP="00000000" w:rsidRDefault="00000000" w:rsidRPr="00000000" w14:paraId="00000034">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7</w:t>
            </w:r>
          </w:p>
        </w:tc>
        <w:tc>
          <w:tcPr>
            <w:tcBorders>
              <w:top w:color="808080" w:space="0" w:sz="6" w:val="single"/>
              <w:left w:color="808080" w:space="0" w:sz="6" w:val="single"/>
              <w:bottom w:color="808080" w:space="0" w:sz="6" w:val="single"/>
              <w:right w:color="808080" w:space="0" w:sz="6" w:val="single"/>
            </w:tcBorders>
            <w:shd w:fill="f4cccc" w:val="clear"/>
            <w:tcMar>
              <w:top w:w="100.0" w:type="dxa"/>
              <w:left w:w="100.0" w:type="dxa"/>
              <w:bottom w:w="100.0" w:type="dxa"/>
              <w:right w:w="100.0" w:type="dxa"/>
            </w:tcMar>
            <w:vAlign w:val="center"/>
          </w:tcPr>
          <w:p w:rsidR="00000000" w:rsidDel="00000000" w:rsidP="00000000" w:rsidRDefault="00000000" w:rsidRPr="00000000" w14:paraId="00000035">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Materiais, Insumos e Equipamentos</w:t>
            </w:r>
          </w:p>
        </w:tc>
        <w:tc>
          <w:tcPr>
            <w:tcBorders>
              <w:top w:color="808080" w:space="0" w:sz="6" w:val="single"/>
              <w:left w:color="808080" w:space="0" w:sz="6" w:val="single"/>
              <w:bottom w:color="808080" w:space="0" w:sz="6" w:val="single"/>
              <w:right w:color="808080" w:space="0" w:sz="6" w:val="single"/>
            </w:tcBorders>
            <w:shd w:fill="f4cccc" w:val="clear"/>
            <w:tcMar>
              <w:top w:w="100.0" w:type="dxa"/>
              <w:left w:w="100.0" w:type="dxa"/>
              <w:bottom w:w="100.0" w:type="dxa"/>
              <w:right w:w="100.0" w:type="dxa"/>
            </w:tcMar>
            <w:vAlign w:val="center"/>
          </w:tcPr>
          <w:p w:rsidR="00000000" w:rsidDel="00000000" w:rsidP="00000000" w:rsidRDefault="00000000" w:rsidRPr="00000000" w14:paraId="00000036">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Deixar de entregar ou repor os Materiais, Insumos e Equipamentos nos prazos definidos no edital e anexos bem como não manter os mesmos em perfeitas condições de uso</w:t>
            </w:r>
          </w:p>
        </w:tc>
        <w:tc>
          <w:tcPr>
            <w:tcBorders>
              <w:top w:color="808080" w:space="0" w:sz="6" w:val="single"/>
              <w:left w:color="808080" w:space="0" w:sz="6" w:val="single"/>
              <w:bottom w:color="808080" w:space="0" w:sz="6" w:val="single"/>
              <w:right w:color="808080" w:space="0" w:sz="6" w:val="single"/>
            </w:tcBorders>
            <w:shd w:fill="f4cccc" w:val="clear"/>
            <w:tcMar>
              <w:top w:w="100.0" w:type="dxa"/>
              <w:left w:w="100.0" w:type="dxa"/>
              <w:bottom w:w="100.0" w:type="dxa"/>
              <w:right w:w="100.0" w:type="dxa"/>
            </w:tcMar>
            <w:vAlign w:val="center"/>
          </w:tcPr>
          <w:p w:rsidR="00000000" w:rsidDel="00000000" w:rsidP="00000000" w:rsidRDefault="00000000" w:rsidRPr="00000000" w14:paraId="00000037">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3</w:t>
            </w:r>
          </w:p>
        </w:tc>
        <w:tc>
          <w:tcPr>
            <w:tcBorders>
              <w:top w:color="808080" w:space="0" w:sz="6" w:val="single"/>
              <w:left w:color="808080" w:space="0" w:sz="6" w:val="single"/>
              <w:bottom w:color="808080" w:space="0" w:sz="6" w:val="single"/>
              <w:right w:color="808080" w:space="0" w:sz="6" w:val="single"/>
            </w:tcBorders>
            <w:shd w:fill="f4cccc" w:val="clear"/>
            <w:tcMar>
              <w:top w:w="100.0" w:type="dxa"/>
              <w:left w:w="100.0" w:type="dxa"/>
              <w:bottom w:w="100.0" w:type="dxa"/>
              <w:right w:w="100.0" w:type="dxa"/>
            </w:tcMar>
            <w:vAlign w:val="center"/>
          </w:tcPr>
          <w:p w:rsidR="00000000" w:rsidDel="00000000" w:rsidP="00000000" w:rsidRDefault="00000000" w:rsidRPr="00000000" w14:paraId="00000038">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Por mês de infração</w:t>
            </w:r>
          </w:p>
        </w:tc>
        <w:tc>
          <w:tcPr>
            <w:tcBorders>
              <w:top w:color="808080" w:space="0" w:sz="6" w:val="single"/>
              <w:left w:color="808080" w:space="0" w:sz="6" w:val="single"/>
              <w:bottom w:color="808080" w:space="0" w:sz="6" w:val="single"/>
              <w:right w:color="808080" w:space="0" w:sz="6" w:val="single"/>
            </w:tcBorders>
            <w:shd w:fill="f4cccc" w:val="clear"/>
            <w:tcMar>
              <w:top w:w="100.0" w:type="dxa"/>
              <w:left w:w="100.0" w:type="dxa"/>
              <w:bottom w:w="100.0" w:type="dxa"/>
              <w:right w:w="100.0" w:type="dxa"/>
            </w:tcMar>
            <w:vAlign w:val="center"/>
          </w:tcPr>
          <w:p w:rsidR="00000000" w:rsidDel="00000000" w:rsidP="00000000" w:rsidRDefault="00000000" w:rsidRPr="00000000" w14:paraId="00000039">
            <w:pPr>
              <w:jc w:val="center"/>
              <w:rPr>
                <w:rFonts w:ascii="Verdana" w:cs="Verdana" w:eastAsia="Verdana" w:hAnsi="Verdana"/>
                <w:color w:val="ff0000"/>
                <w:sz w:val="17"/>
                <w:szCs w:val="17"/>
              </w:rPr>
            </w:pPr>
            <w:r w:rsidDel="00000000" w:rsidR="00000000" w:rsidRPr="00000000">
              <w:rPr>
                <w:rFonts w:ascii="Verdana" w:cs="Verdana" w:eastAsia="Verdana" w:hAnsi="Verdana"/>
                <w:color w:val="ff0000"/>
                <w:sz w:val="17"/>
                <w:szCs w:val="17"/>
                <w:rtl w:val="0"/>
              </w:rPr>
              <w:t xml:space="preserve">NÃO</w:t>
            </w:r>
          </w:p>
        </w:tc>
      </w:tr>
      <w:tr>
        <w:trPr>
          <w:cantSplit w:val="0"/>
          <w:trHeight w:val="675"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3A">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8</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3B">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Convocações</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3C">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Não atendimento às convocações da fiscalização/gestão do contrato</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3D">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2</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3E">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Por infração</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3F">
            <w:pPr>
              <w:jc w:val="center"/>
              <w:rPr>
                <w:rFonts w:ascii="Verdana" w:cs="Verdana" w:eastAsia="Verdana" w:hAnsi="Verdana"/>
                <w:color w:val="ff0000"/>
                <w:sz w:val="17"/>
                <w:szCs w:val="17"/>
              </w:rPr>
            </w:pPr>
            <w:r w:rsidDel="00000000" w:rsidR="00000000" w:rsidRPr="00000000">
              <w:rPr>
                <w:rFonts w:ascii="Verdana" w:cs="Verdana" w:eastAsia="Verdana" w:hAnsi="Verdana"/>
                <w:color w:val="ff0000"/>
                <w:sz w:val="17"/>
                <w:szCs w:val="17"/>
                <w:rtl w:val="0"/>
              </w:rPr>
              <w:t xml:space="preserve">NÃO</w:t>
            </w:r>
          </w:p>
        </w:tc>
      </w:tr>
      <w:tr>
        <w:trPr>
          <w:cantSplit w:val="0"/>
          <w:trHeight w:val="285"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40">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9</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41">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Atualização das informações do quadro de funcionários</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42">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Deixar de informar a fiscalização/gestão do contrato sobre alterações no quadro de funcionários.</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43">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 2</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44">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Por infração (comunicação)</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45">
            <w:pPr>
              <w:jc w:val="center"/>
              <w:rPr>
                <w:rFonts w:ascii="Verdana" w:cs="Verdana" w:eastAsia="Verdana" w:hAnsi="Verdana"/>
                <w:color w:val="ff0000"/>
                <w:sz w:val="17"/>
                <w:szCs w:val="17"/>
              </w:rPr>
            </w:pPr>
            <w:r w:rsidDel="00000000" w:rsidR="00000000" w:rsidRPr="00000000">
              <w:rPr>
                <w:rFonts w:ascii="Verdana" w:cs="Verdana" w:eastAsia="Verdana" w:hAnsi="Verdana"/>
                <w:color w:val="ff0000"/>
                <w:sz w:val="17"/>
                <w:szCs w:val="17"/>
                <w:rtl w:val="0"/>
              </w:rPr>
              <w:t xml:space="preserve">NÃO</w:t>
            </w:r>
          </w:p>
        </w:tc>
      </w:tr>
      <w:tr>
        <w:trPr>
          <w:cantSplit w:val="0"/>
          <w:trHeight w:val="90"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46">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10</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47">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Zelo pelas instalações</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48">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Danificar patrimônio ou instalações do IFFAR</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49">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 2</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4A">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Por infração (comunicação)</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4B">
            <w:pPr>
              <w:jc w:val="center"/>
              <w:rPr>
                <w:rFonts w:ascii="Verdana" w:cs="Verdana" w:eastAsia="Verdana" w:hAnsi="Verdana"/>
                <w:color w:val="ff0000"/>
                <w:sz w:val="17"/>
                <w:szCs w:val="17"/>
              </w:rPr>
            </w:pPr>
            <w:r w:rsidDel="00000000" w:rsidR="00000000" w:rsidRPr="00000000">
              <w:rPr>
                <w:rFonts w:ascii="Verdana" w:cs="Verdana" w:eastAsia="Verdana" w:hAnsi="Verdana"/>
                <w:color w:val="ff0000"/>
                <w:sz w:val="17"/>
                <w:szCs w:val="17"/>
                <w:rtl w:val="0"/>
              </w:rPr>
              <w:t xml:space="preserve">NÃO</w:t>
            </w:r>
          </w:p>
        </w:tc>
      </w:tr>
      <w:tr>
        <w:trPr>
          <w:cantSplit w:val="0"/>
          <w:trHeight w:val="360"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4C">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11</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4D">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Ética, sigilo e Relações interpessoais</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4E">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Deixar de tratar com respeito, para com os estudantes, professores, técnicos, visitantes, </w:t>
            </w:r>
            <w:r w:rsidDel="00000000" w:rsidR="00000000" w:rsidRPr="00000000">
              <w:rPr>
                <w:rFonts w:ascii="Verdana" w:cs="Verdana" w:eastAsia="Verdana" w:hAnsi="Verdana"/>
                <w:color w:val="ff0000"/>
                <w:sz w:val="17"/>
                <w:szCs w:val="17"/>
                <w:rtl w:val="0"/>
              </w:rPr>
              <w:t xml:space="preserve">bem como outros colaboradores terceirizados</w:t>
            </w:r>
            <w:r w:rsidDel="00000000" w:rsidR="00000000" w:rsidRPr="00000000">
              <w:rPr>
                <w:rFonts w:ascii="Verdana" w:cs="Verdana" w:eastAsia="Verdana" w:hAnsi="Verdana"/>
                <w:sz w:val="17"/>
                <w:szCs w:val="17"/>
                <w:rtl w:val="0"/>
              </w:rPr>
              <w:t xml:space="preserve"> da instituição, observando a ética no trato com as pessoas.</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4F">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3</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50">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Por infração (comunicação)</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51">
            <w:pPr>
              <w:jc w:val="center"/>
              <w:rPr>
                <w:rFonts w:ascii="Verdana" w:cs="Verdana" w:eastAsia="Verdana" w:hAnsi="Verdana"/>
                <w:color w:val="ff0000"/>
                <w:sz w:val="17"/>
                <w:szCs w:val="17"/>
              </w:rPr>
            </w:pPr>
            <w:r w:rsidDel="00000000" w:rsidR="00000000" w:rsidRPr="00000000">
              <w:rPr>
                <w:rFonts w:ascii="Verdana" w:cs="Verdana" w:eastAsia="Verdana" w:hAnsi="Verdana"/>
                <w:color w:val="ff0000"/>
                <w:sz w:val="17"/>
                <w:szCs w:val="17"/>
                <w:rtl w:val="0"/>
              </w:rPr>
              <w:t xml:space="preserve">NÃO</w:t>
            </w:r>
          </w:p>
        </w:tc>
      </w:tr>
      <w:tr>
        <w:trPr>
          <w:cantSplit w:val="0"/>
          <w:trHeight w:val="375.5844726562499"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52">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12</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53">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Extravio, furtos e roubos</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54">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Não comunicar tempestivamente à Gestão de Contratos, o extravio de qualquer acessório, equipamento obrigatório, documento ou objeto pertencente à instituição.</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55">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4</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56">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Por infração (comunicação)</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57">
            <w:pPr>
              <w:jc w:val="center"/>
              <w:rPr>
                <w:rFonts w:ascii="Verdana" w:cs="Verdana" w:eastAsia="Verdana" w:hAnsi="Verdana"/>
                <w:color w:val="ff0000"/>
                <w:sz w:val="17"/>
                <w:szCs w:val="17"/>
              </w:rPr>
            </w:pPr>
            <w:r w:rsidDel="00000000" w:rsidR="00000000" w:rsidRPr="00000000">
              <w:rPr>
                <w:rFonts w:ascii="Verdana" w:cs="Verdana" w:eastAsia="Verdana" w:hAnsi="Verdana"/>
                <w:color w:val="ff0000"/>
                <w:sz w:val="17"/>
                <w:szCs w:val="17"/>
                <w:rtl w:val="0"/>
              </w:rPr>
              <w:t xml:space="preserve">NÃO</w:t>
            </w:r>
          </w:p>
        </w:tc>
      </w:tr>
      <w:tr>
        <w:trPr>
          <w:cantSplit w:val="0"/>
          <w:trHeight w:val="555"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58">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13</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59">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Pagamento de salário, benefícios e encargos fiscais e sociais</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5A">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Deixar de efetuar o pagamento de salário, vale-transporte, auxílio alimentação, seguro, encargos fiscais e sociais nas datas previstas.</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5B">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5</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5C">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 Por dia corrido de infração</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center"/>
          </w:tcPr>
          <w:p w:rsidR="00000000" w:rsidDel="00000000" w:rsidP="00000000" w:rsidRDefault="00000000" w:rsidRPr="00000000" w14:paraId="0000005D">
            <w:pPr>
              <w:jc w:val="center"/>
              <w:rPr>
                <w:rFonts w:ascii="Verdana" w:cs="Verdana" w:eastAsia="Verdana" w:hAnsi="Verdana"/>
                <w:color w:val="ff0000"/>
                <w:sz w:val="17"/>
                <w:szCs w:val="17"/>
              </w:rPr>
            </w:pPr>
            <w:r w:rsidDel="00000000" w:rsidR="00000000" w:rsidRPr="00000000">
              <w:rPr>
                <w:rFonts w:ascii="Verdana" w:cs="Verdana" w:eastAsia="Verdana" w:hAnsi="Verdana"/>
                <w:color w:val="ff0000"/>
                <w:sz w:val="17"/>
                <w:szCs w:val="17"/>
                <w:rtl w:val="0"/>
              </w:rPr>
              <w:t xml:space="preserve">NÃO</w:t>
            </w:r>
          </w:p>
        </w:tc>
      </w:tr>
      <w:tr>
        <w:trPr>
          <w:cantSplit w:val="0"/>
          <w:trHeight w:val="555" w:hRule="atLeast"/>
          <w:tblHeader w:val="0"/>
        </w:trPr>
        <w:tc>
          <w:tcPr>
            <w:tcBorders>
              <w:top w:color="808080" w:space="0" w:sz="6" w:val="single"/>
              <w:left w:color="808080" w:space="0" w:sz="6" w:val="single"/>
              <w:bottom w:color="808080" w:space="0" w:sz="6" w:val="single"/>
              <w:right w:color="808080" w:space="0" w:sz="6" w:val="single"/>
            </w:tcBorders>
            <w:shd w:fill="f4cccc" w:val="clear"/>
            <w:tcMar>
              <w:top w:w="100.0" w:type="dxa"/>
              <w:left w:w="100.0" w:type="dxa"/>
              <w:bottom w:w="100.0" w:type="dxa"/>
              <w:right w:w="100.0" w:type="dxa"/>
            </w:tcMar>
            <w:vAlign w:val="center"/>
          </w:tcPr>
          <w:p w:rsidR="00000000" w:rsidDel="00000000" w:rsidP="00000000" w:rsidRDefault="00000000" w:rsidRPr="00000000" w14:paraId="0000005E">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14</w:t>
            </w:r>
          </w:p>
        </w:tc>
        <w:tc>
          <w:tcPr>
            <w:tcBorders>
              <w:top w:color="808080" w:space="0" w:sz="6" w:val="single"/>
              <w:left w:color="808080" w:space="0" w:sz="6" w:val="single"/>
              <w:bottom w:color="808080" w:space="0" w:sz="6" w:val="single"/>
              <w:right w:color="808080" w:space="0" w:sz="6" w:val="single"/>
            </w:tcBorders>
            <w:shd w:fill="f4cccc" w:val="clear"/>
            <w:tcMar>
              <w:top w:w="100.0" w:type="dxa"/>
              <w:left w:w="100.0" w:type="dxa"/>
              <w:bottom w:w="100.0" w:type="dxa"/>
              <w:right w:w="100.0" w:type="dxa"/>
            </w:tcMar>
            <w:vAlign w:val="center"/>
          </w:tcPr>
          <w:p w:rsidR="00000000" w:rsidDel="00000000" w:rsidP="00000000" w:rsidRDefault="00000000" w:rsidRPr="00000000" w14:paraId="0000005F">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Manutenção das Condições de Habilitação</w:t>
            </w:r>
          </w:p>
        </w:tc>
        <w:tc>
          <w:tcPr>
            <w:tcBorders>
              <w:top w:color="808080" w:space="0" w:sz="6" w:val="single"/>
              <w:left w:color="808080" w:space="0" w:sz="6" w:val="single"/>
              <w:bottom w:color="808080" w:space="0" w:sz="6" w:val="single"/>
              <w:right w:color="808080" w:space="0" w:sz="6" w:val="single"/>
            </w:tcBorders>
            <w:shd w:fill="f4cccc" w:val="clear"/>
            <w:tcMar>
              <w:top w:w="100.0" w:type="dxa"/>
              <w:left w:w="100.0" w:type="dxa"/>
              <w:bottom w:w="100.0" w:type="dxa"/>
              <w:right w:w="100.0" w:type="dxa"/>
            </w:tcMar>
            <w:vAlign w:val="top"/>
          </w:tcPr>
          <w:p w:rsidR="00000000" w:rsidDel="00000000" w:rsidP="00000000" w:rsidRDefault="00000000" w:rsidRPr="00000000" w14:paraId="00000060">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Deixar de Manter SICAF atualizado ou apresentar a fiscalização os documentos de habilitação exigidos, dentro dos prazos estabelecidos.</w:t>
            </w:r>
          </w:p>
        </w:tc>
        <w:tc>
          <w:tcPr>
            <w:tcBorders>
              <w:top w:color="808080" w:space="0" w:sz="6" w:val="single"/>
              <w:left w:color="808080" w:space="0" w:sz="6" w:val="single"/>
              <w:bottom w:color="808080" w:space="0" w:sz="6" w:val="single"/>
              <w:right w:color="808080" w:space="0" w:sz="6" w:val="single"/>
            </w:tcBorders>
            <w:shd w:fill="f4cccc" w:val="clear"/>
            <w:tcMar>
              <w:top w:w="100.0" w:type="dxa"/>
              <w:left w:w="100.0" w:type="dxa"/>
              <w:bottom w:w="100.0" w:type="dxa"/>
              <w:right w:w="100.0" w:type="dxa"/>
            </w:tcMar>
            <w:vAlign w:val="center"/>
          </w:tcPr>
          <w:p w:rsidR="00000000" w:rsidDel="00000000" w:rsidP="00000000" w:rsidRDefault="00000000" w:rsidRPr="00000000" w14:paraId="00000061">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3</w:t>
            </w:r>
          </w:p>
        </w:tc>
        <w:tc>
          <w:tcPr>
            <w:tcBorders>
              <w:top w:color="808080" w:space="0" w:sz="6" w:val="single"/>
              <w:left w:color="808080" w:space="0" w:sz="6" w:val="single"/>
              <w:bottom w:color="808080" w:space="0" w:sz="6" w:val="single"/>
              <w:right w:color="808080" w:space="0" w:sz="6" w:val="single"/>
            </w:tcBorders>
            <w:shd w:fill="f4cccc" w:val="clear"/>
            <w:tcMar>
              <w:top w:w="100.0" w:type="dxa"/>
              <w:left w:w="100.0" w:type="dxa"/>
              <w:bottom w:w="100.0" w:type="dxa"/>
              <w:right w:w="100.0" w:type="dxa"/>
            </w:tcMar>
            <w:vAlign w:val="center"/>
          </w:tcPr>
          <w:p w:rsidR="00000000" w:rsidDel="00000000" w:rsidP="00000000" w:rsidRDefault="00000000" w:rsidRPr="00000000" w14:paraId="00000062">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Por infração (comunicação)</w:t>
            </w:r>
          </w:p>
        </w:tc>
        <w:tc>
          <w:tcPr>
            <w:tcBorders>
              <w:top w:color="808080" w:space="0" w:sz="6" w:val="single"/>
              <w:left w:color="808080" w:space="0" w:sz="6" w:val="single"/>
              <w:bottom w:color="808080" w:space="0" w:sz="6" w:val="single"/>
              <w:right w:color="808080" w:space="0" w:sz="6" w:val="single"/>
            </w:tcBorders>
            <w:shd w:fill="f4cccc" w:val="clear"/>
            <w:tcMar>
              <w:top w:w="100.0" w:type="dxa"/>
              <w:left w:w="100.0" w:type="dxa"/>
              <w:bottom w:w="100.0" w:type="dxa"/>
              <w:right w:w="100.0" w:type="dxa"/>
            </w:tcMar>
            <w:vAlign w:val="center"/>
          </w:tcPr>
          <w:p w:rsidR="00000000" w:rsidDel="00000000" w:rsidP="00000000" w:rsidRDefault="00000000" w:rsidRPr="00000000" w14:paraId="00000063">
            <w:pPr>
              <w:jc w:val="center"/>
              <w:rPr>
                <w:rFonts w:ascii="Verdana" w:cs="Verdana" w:eastAsia="Verdana" w:hAnsi="Verdana"/>
                <w:color w:val="ff0000"/>
                <w:sz w:val="17"/>
                <w:szCs w:val="17"/>
              </w:rPr>
            </w:pPr>
            <w:r w:rsidDel="00000000" w:rsidR="00000000" w:rsidRPr="00000000">
              <w:rPr>
                <w:rFonts w:ascii="Verdana" w:cs="Verdana" w:eastAsia="Verdana" w:hAnsi="Verdana"/>
                <w:color w:val="ff0000"/>
                <w:sz w:val="17"/>
                <w:szCs w:val="17"/>
                <w:rtl w:val="0"/>
              </w:rPr>
              <w:t xml:space="preserve">NÃO</w:t>
            </w:r>
          </w:p>
        </w:tc>
      </w:tr>
    </w:tbl>
    <w:p w:rsidR="00000000" w:rsidDel="00000000" w:rsidP="00000000" w:rsidRDefault="00000000" w:rsidRPr="00000000" w14:paraId="00000064">
      <w:pPr>
        <w:spacing w:after="160" w:before="160" w:lineRule="auto"/>
        <w:ind w:left="0" w:firstLine="0"/>
        <w:jc w:val="both"/>
        <w:rPr>
          <w:rFonts w:ascii="Verdana" w:cs="Verdana" w:eastAsia="Verdana" w:hAnsi="Verdana"/>
          <w:b w:val="1"/>
          <w:sz w:val="17"/>
          <w:szCs w:val="17"/>
        </w:rPr>
      </w:pPr>
      <w:r w:rsidDel="00000000" w:rsidR="00000000" w:rsidRPr="00000000">
        <w:rPr>
          <w:rFonts w:ascii="Verdana" w:cs="Verdana" w:eastAsia="Verdana" w:hAnsi="Verdana"/>
          <w:strike w:val="1"/>
          <w:color w:val="ff0000"/>
          <w:sz w:val="17"/>
          <w:szCs w:val="17"/>
          <w:rtl w:val="0"/>
        </w:rPr>
        <w:t xml:space="preserve">* Além do desconto em razão do IMR, deverá ser descontado o valor proporcional a um mês de uniformes e EPIs na Planilha de Custo. Caso o atraso no envio de uniformes seja inferior a um mês, a aplicação do IMR deverá ocorrer da mesma forma, devendo ser contabilizada proporcionalmente ao final do mês.{incluir nas observações lá em baixo}</w:t>
      </w:r>
      <w:r w:rsidDel="00000000" w:rsidR="00000000" w:rsidRPr="00000000">
        <w:rPr>
          <w:rFonts w:ascii="Verdana" w:cs="Verdana" w:eastAsia="Verdana" w:hAnsi="Verdana"/>
          <w:sz w:val="17"/>
          <w:szCs w:val="17"/>
          <w:rtl w:val="0"/>
        </w:rPr>
        <w:br w:type="textWrapping"/>
      </w:r>
      <w:r w:rsidDel="00000000" w:rsidR="00000000" w:rsidRPr="00000000">
        <w:rPr>
          <w:rFonts w:ascii="Verdana" w:cs="Verdana" w:eastAsia="Verdana" w:hAnsi="Verdana"/>
          <w:b w:val="1"/>
          <w:sz w:val="17"/>
          <w:szCs w:val="17"/>
          <w:rtl w:val="0"/>
        </w:rPr>
        <w:t xml:space="preserve"> </w:t>
      </w:r>
    </w:p>
    <w:p w:rsidR="00000000" w:rsidDel="00000000" w:rsidP="00000000" w:rsidRDefault="00000000" w:rsidRPr="00000000" w14:paraId="00000065">
      <w:pPr>
        <w:spacing w:after="160" w:before="160" w:lineRule="auto"/>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 </w:t>
        <w:br w:type="textWrapping"/>
        <w:br w:type="textWrapping"/>
      </w:r>
      <w:r w:rsidDel="00000000" w:rsidR="00000000" w:rsidRPr="00000000">
        <w:rPr>
          <w:rFonts w:ascii="Verdana" w:cs="Verdana" w:eastAsia="Verdana" w:hAnsi="Verdana"/>
          <w:b w:val="1"/>
          <w:sz w:val="17"/>
          <w:szCs w:val="17"/>
          <w:rtl w:val="0"/>
        </w:rPr>
        <w:t xml:space="preserve"> </w:t>
      </w:r>
      <w:r w:rsidDel="00000000" w:rsidR="00000000" w:rsidRPr="00000000">
        <w:rPr>
          <w:rFonts w:ascii="Verdana" w:cs="Verdana" w:eastAsia="Verdana" w:hAnsi="Verdana"/>
          <w:b w:val="1"/>
          <w:sz w:val="20"/>
          <w:szCs w:val="20"/>
          <w:rtl w:val="0"/>
        </w:rPr>
        <w:t xml:space="preserve">TABELA PARA MENSURAÇÃO DO RESULTADO</w:t>
      </w:r>
      <w:r w:rsidDel="00000000" w:rsidR="00000000" w:rsidRPr="00000000">
        <w:rPr>
          <w:rtl w:val="0"/>
        </w:rPr>
      </w:r>
    </w:p>
    <w:p w:rsidR="00000000" w:rsidDel="00000000" w:rsidP="00000000" w:rsidRDefault="00000000" w:rsidRPr="00000000" w14:paraId="00000066">
      <w:pPr>
        <w:spacing w:after="160" w:before="160" w:lineRule="auto"/>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Para fins de mensuração do resultado e adequação do pagamento será adotada conforme tabela a seguir:</w:t>
      </w:r>
    </w:p>
    <w:tbl>
      <w:tblPr>
        <w:tblStyle w:val="Table2"/>
        <w:tblW w:w="8970.0" w:type="dxa"/>
        <w:jc w:val="left"/>
        <w:tblBorders>
          <w:top w:color="808080" w:space="0" w:sz="6" w:val="single"/>
          <w:left w:color="808080" w:space="0" w:sz="6" w:val="single"/>
          <w:bottom w:color="808080" w:space="0" w:sz="6" w:val="single"/>
          <w:right w:color="808080" w:space="0" w:sz="6" w:val="single"/>
          <w:insideH w:color="808080" w:space="0" w:sz="6" w:val="single"/>
          <w:insideV w:color="808080" w:space="0" w:sz="6" w:val="single"/>
        </w:tblBorders>
        <w:tblLayout w:type="fixed"/>
        <w:tblLook w:val="0600"/>
      </w:tblPr>
      <w:tblGrid>
        <w:gridCol w:w="2340"/>
        <w:gridCol w:w="6630"/>
        <w:tblGridChange w:id="0">
          <w:tblGrid>
            <w:gridCol w:w="2340"/>
            <w:gridCol w:w="6630"/>
          </w:tblGrid>
        </w:tblGridChange>
      </w:tblGrid>
      <w:tr>
        <w:trPr>
          <w:cantSplit w:val="0"/>
          <w:trHeight w:val="455"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67">
            <w:pPr>
              <w:jc w:val="center"/>
              <w:rPr>
                <w:rFonts w:ascii="Verdana" w:cs="Verdana" w:eastAsia="Verdana" w:hAnsi="Verdana"/>
                <w:sz w:val="17"/>
                <w:szCs w:val="17"/>
              </w:rPr>
            </w:pPr>
            <w:r w:rsidDel="00000000" w:rsidR="00000000" w:rsidRPr="00000000">
              <w:rPr>
                <w:rFonts w:ascii="Verdana" w:cs="Verdana" w:eastAsia="Verdana" w:hAnsi="Verdana"/>
                <w:b w:val="1"/>
                <w:sz w:val="17"/>
                <w:szCs w:val="17"/>
                <w:rtl w:val="0"/>
              </w:rPr>
              <w:t xml:space="preserve">Grau da Infração</w:t>
            </w:r>
            <w:r w:rsidDel="00000000" w:rsidR="00000000" w:rsidRPr="00000000">
              <w:rPr>
                <w:rtl w:val="0"/>
              </w:rPr>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68">
            <w:pPr>
              <w:jc w:val="center"/>
              <w:rPr>
                <w:rFonts w:ascii="Verdana" w:cs="Verdana" w:eastAsia="Verdana" w:hAnsi="Verdana"/>
                <w:sz w:val="17"/>
                <w:szCs w:val="17"/>
              </w:rPr>
            </w:pPr>
            <w:r w:rsidDel="00000000" w:rsidR="00000000" w:rsidRPr="00000000">
              <w:rPr>
                <w:rFonts w:ascii="Verdana" w:cs="Verdana" w:eastAsia="Verdana" w:hAnsi="Verdana"/>
                <w:b w:val="1"/>
                <w:sz w:val="17"/>
                <w:szCs w:val="17"/>
                <w:rtl w:val="0"/>
              </w:rPr>
              <w:t xml:space="preserve">Reduções de pagamento</w:t>
            </w:r>
            <w:r w:rsidDel="00000000" w:rsidR="00000000" w:rsidRPr="00000000">
              <w:rPr>
                <w:rtl w:val="0"/>
              </w:rPr>
            </w:r>
          </w:p>
        </w:tc>
      </w:tr>
      <w:tr>
        <w:trPr>
          <w:cantSplit w:val="0"/>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69">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1</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6A">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0,2% por incidência sobre o valor mensal do contrato</w:t>
            </w:r>
          </w:p>
        </w:tc>
      </w:tr>
      <w:tr>
        <w:trPr>
          <w:cantSplit w:val="0"/>
          <w:trHeight w:val="455"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6B">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2</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6C">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0,4% por incidência sobre o valor mensal do contrato</w:t>
            </w:r>
          </w:p>
        </w:tc>
      </w:tr>
      <w:tr>
        <w:trPr>
          <w:cantSplit w:val="0"/>
          <w:trHeight w:val="455"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6D">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3</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6E">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0,6% por incidência sobre o valor mensal do contrato</w:t>
            </w:r>
          </w:p>
        </w:tc>
      </w:tr>
      <w:tr>
        <w:trPr>
          <w:cantSplit w:val="0"/>
          <w:trHeight w:val="455"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6F">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4</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70">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0,8% por incidência sobre o valor mensal do contrato</w:t>
            </w:r>
          </w:p>
        </w:tc>
      </w:tr>
      <w:tr>
        <w:trPr>
          <w:cantSplit w:val="0"/>
          <w:trHeight w:val="455"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71">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5</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72">
            <w:pPr>
              <w:jc w:val="center"/>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1% por incidência sobre o valor mensal do contrato</w:t>
            </w:r>
          </w:p>
        </w:tc>
      </w:tr>
      <w:tr>
        <w:trPr>
          <w:cantSplit w:val="0"/>
          <w:trHeight w:val="1400" w:hRule="atLeast"/>
          <w:tblHeader w:val="0"/>
        </w:trPr>
        <w:tc>
          <w:tcPr>
            <w:gridSpan w:val="2"/>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73">
            <w:pPr>
              <w:numPr>
                <w:ilvl w:val="0"/>
                <w:numId w:val="1"/>
              </w:numPr>
              <w:spacing w:before="160" w:line="240" w:lineRule="auto"/>
              <w:ind w:left="720" w:hanging="360"/>
              <w:jc w:val="both"/>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Para fins adequação de pagamento por Mensuração de Resultado, fica fixado o limite máximo de 10% de redução sobre o valor mensal do contrato.</w:t>
            </w:r>
          </w:p>
          <w:p w:rsidR="00000000" w:rsidDel="00000000" w:rsidP="00000000" w:rsidRDefault="00000000" w:rsidRPr="00000000" w14:paraId="00000074">
            <w:pPr>
              <w:spacing w:line="240" w:lineRule="auto"/>
              <w:ind w:left="720" w:firstLine="0"/>
              <w:jc w:val="both"/>
              <w:rPr>
                <w:rFonts w:ascii="Verdana" w:cs="Verdana" w:eastAsia="Verdana" w:hAnsi="Verdana"/>
                <w:sz w:val="17"/>
                <w:szCs w:val="17"/>
              </w:rPr>
            </w:pPr>
            <w:r w:rsidDel="00000000" w:rsidR="00000000" w:rsidRPr="00000000">
              <w:rPr>
                <w:rtl w:val="0"/>
              </w:rPr>
            </w:r>
          </w:p>
          <w:p w:rsidR="00000000" w:rsidDel="00000000" w:rsidP="00000000" w:rsidRDefault="00000000" w:rsidRPr="00000000" w14:paraId="00000075">
            <w:pPr>
              <w:numPr>
                <w:ilvl w:val="0"/>
                <w:numId w:val="1"/>
              </w:numPr>
              <w:spacing w:line="240" w:lineRule="auto"/>
              <w:ind w:left="720" w:hanging="360"/>
              <w:jc w:val="both"/>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A redução de pagamento em razão das infrações previstas neste Instrumento de Mensuração de Resultado não impede a aplicação concomitante de Sanções Administrativas previstas no Contrato Administrativo, mediante decisão da Administração.</w:t>
            </w:r>
          </w:p>
          <w:p w:rsidR="00000000" w:rsidDel="00000000" w:rsidP="00000000" w:rsidRDefault="00000000" w:rsidRPr="00000000" w14:paraId="00000076">
            <w:pPr>
              <w:spacing w:line="240" w:lineRule="auto"/>
              <w:ind w:left="720" w:firstLine="0"/>
              <w:jc w:val="both"/>
              <w:rPr>
                <w:rFonts w:ascii="Verdana" w:cs="Verdana" w:eastAsia="Verdana" w:hAnsi="Verdana"/>
                <w:sz w:val="17"/>
                <w:szCs w:val="17"/>
              </w:rPr>
            </w:pPr>
            <w:r w:rsidDel="00000000" w:rsidR="00000000" w:rsidRPr="00000000">
              <w:rPr>
                <w:rtl w:val="0"/>
              </w:rPr>
            </w:r>
          </w:p>
          <w:p w:rsidR="00000000" w:rsidDel="00000000" w:rsidP="00000000" w:rsidRDefault="00000000" w:rsidRPr="00000000" w14:paraId="00000077">
            <w:pPr>
              <w:numPr>
                <w:ilvl w:val="0"/>
                <w:numId w:val="1"/>
              </w:numPr>
              <w:spacing w:line="240" w:lineRule="auto"/>
              <w:ind w:left="720" w:hanging="360"/>
              <w:jc w:val="both"/>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Nos casos em que a CONTRATADA não repor o efetivo de empregados e/ou não fornecer itens (uniformes, EPIs, equipamentos ou insumos), além do IMR e das possíveis sanções administrativas os postos e/ou itens serão glosados (retirados da planilha de custos para averiguar valor mensal efetivamente devido). Essas glosas não estão limitadas a 10% do valor mensal devido. Pois, referem-se a serviços não prestados ou materiais não fornecidos. Antes do cálculo do ajuste do IMR, deve ser descontado do valor total devido no mês(base de cálculo do IMR), os valores glosados, no mês, de acordo com os critérios deste parágrafo.</w:t>
            </w:r>
          </w:p>
          <w:p w:rsidR="00000000" w:rsidDel="00000000" w:rsidP="00000000" w:rsidRDefault="00000000" w:rsidRPr="00000000" w14:paraId="00000078">
            <w:pPr>
              <w:spacing w:line="240" w:lineRule="auto"/>
              <w:ind w:left="720" w:firstLine="0"/>
              <w:jc w:val="both"/>
              <w:rPr>
                <w:rFonts w:ascii="Verdana" w:cs="Verdana" w:eastAsia="Verdana" w:hAnsi="Verdana"/>
                <w:sz w:val="17"/>
                <w:szCs w:val="17"/>
              </w:rPr>
            </w:pPr>
            <w:r w:rsidDel="00000000" w:rsidR="00000000" w:rsidRPr="00000000">
              <w:rPr>
                <w:rtl w:val="0"/>
              </w:rPr>
            </w:r>
          </w:p>
          <w:p w:rsidR="00000000" w:rsidDel="00000000" w:rsidP="00000000" w:rsidRDefault="00000000" w:rsidRPr="00000000" w14:paraId="00000079">
            <w:pPr>
              <w:numPr>
                <w:ilvl w:val="0"/>
                <w:numId w:val="1"/>
              </w:numPr>
              <w:spacing w:line="240" w:lineRule="auto"/>
              <w:ind w:left="720" w:hanging="360"/>
              <w:jc w:val="both"/>
              <w:rPr>
                <w:rFonts w:ascii="Verdana" w:cs="Verdana" w:eastAsia="Verdana" w:hAnsi="Verdana"/>
                <w:sz w:val="17"/>
                <w:szCs w:val="17"/>
              </w:rPr>
            </w:pPr>
            <w:r w:rsidDel="00000000" w:rsidR="00000000" w:rsidRPr="00000000">
              <w:rPr>
                <w:rFonts w:ascii="Verdana" w:cs="Verdana" w:eastAsia="Verdana" w:hAnsi="Verdana"/>
                <w:color w:val="ff0000"/>
                <w:sz w:val="17"/>
                <w:szCs w:val="17"/>
                <w:rtl w:val="0"/>
              </w:rPr>
              <w:t xml:space="preserve">No caso do parágrafo anterior, caso o atraso seja de 1 mês, deverá ser glosado o valor referente a um mês dos itens em atraso na Planilha de Custo. Caso o atraso seja inferior a um mês, a glosa dos itens em planilha deverá ser realizada de maneira proporcional.(dias corridos em atraso/30).</w:t>
            </w:r>
            <w:r w:rsidDel="00000000" w:rsidR="00000000" w:rsidRPr="00000000">
              <w:rPr>
                <w:rFonts w:ascii="Verdana" w:cs="Verdana" w:eastAsia="Verdana" w:hAnsi="Verdana"/>
                <w:sz w:val="17"/>
                <w:szCs w:val="17"/>
                <w:rtl w:val="0"/>
              </w:rPr>
              <w:tab/>
            </w:r>
            <w:r w:rsidDel="00000000" w:rsidR="00000000" w:rsidRPr="00000000">
              <w:rPr>
                <w:rtl w:val="0"/>
              </w:rPr>
            </w:r>
          </w:p>
          <w:p w:rsidR="00000000" w:rsidDel="00000000" w:rsidP="00000000" w:rsidRDefault="00000000" w:rsidRPr="00000000" w14:paraId="0000007A">
            <w:pPr>
              <w:spacing w:line="240" w:lineRule="auto"/>
              <w:ind w:left="720" w:firstLine="0"/>
              <w:jc w:val="both"/>
              <w:rPr>
                <w:rFonts w:ascii="Verdana" w:cs="Verdana" w:eastAsia="Verdana" w:hAnsi="Verdana"/>
                <w:color w:val="ff00ff"/>
                <w:sz w:val="17"/>
                <w:szCs w:val="17"/>
              </w:rPr>
            </w:pPr>
            <w:r w:rsidDel="00000000" w:rsidR="00000000" w:rsidRPr="00000000">
              <w:rPr>
                <w:rtl w:val="0"/>
              </w:rPr>
            </w:r>
          </w:p>
          <w:p w:rsidR="00000000" w:rsidDel="00000000" w:rsidP="00000000" w:rsidRDefault="00000000" w:rsidRPr="00000000" w14:paraId="0000007B">
            <w:pPr>
              <w:numPr>
                <w:ilvl w:val="0"/>
                <w:numId w:val="1"/>
              </w:numPr>
              <w:spacing w:line="240" w:lineRule="auto"/>
              <w:ind w:left="720" w:hanging="360"/>
              <w:jc w:val="both"/>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No caso dos colaboradores da CONTRATADA danificarem equipamentos e ou instalações da CONTRATANTE,  a CONTRATADA deverá arcar com todos os custos. Estes custos poderão ser glosados, de forma independente e antes do cálculo do IMR, não estando limitados a 10% do valor mensal devido.</w:t>
            </w:r>
          </w:p>
          <w:p w:rsidR="00000000" w:rsidDel="00000000" w:rsidP="00000000" w:rsidRDefault="00000000" w:rsidRPr="00000000" w14:paraId="0000007C">
            <w:pPr>
              <w:spacing w:line="240" w:lineRule="auto"/>
              <w:ind w:left="720" w:firstLine="0"/>
              <w:jc w:val="both"/>
              <w:rPr>
                <w:rFonts w:ascii="Verdana" w:cs="Verdana" w:eastAsia="Verdana" w:hAnsi="Verdana"/>
                <w:sz w:val="17"/>
                <w:szCs w:val="17"/>
              </w:rPr>
            </w:pPr>
            <w:r w:rsidDel="00000000" w:rsidR="00000000" w:rsidRPr="00000000">
              <w:rPr>
                <w:rtl w:val="0"/>
              </w:rPr>
            </w:r>
          </w:p>
          <w:p w:rsidR="00000000" w:rsidDel="00000000" w:rsidP="00000000" w:rsidRDefault="00000000" w:rsidRPr="00000000" w14:paraId="0000007D">
            <w:pPr>
              <w:numPr>
                <w:ilvl w:val="0"/>
                <w:numId w:val="1"/>
              </w:numPr>
              <w:spacing w:line="240" w:lineRule="auto"/>
              <w:ind w:left="720" w:hanging="360"/>
              <w:jc w:val="both"/>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A critério da CONTRATANTE poderá ser aplicada sanções administrativas por infrações listadas na minuta de contrato, inclusive cumulativa a sanção com a redução de pagamento prevista neste item.</w:t>
              <w:tab/>
            </w:r>
          </w:p>
          <w:p w:rsidR="00000000" w:rsidDel="00000000" w:rsidP="00000000" w:rsidRDefault="00000000" w:rsidRPr="00000000" w14:paraId="0000007E">
            <w:pPr>
              <w:spacing w:line="240" w:lineRule="auto"/>
              <w:ind w:left="720" w:firstLine="0"/>
              <w:jc w:val="both"/>
              <w:rPr>
                <w:rFonts w:ascii="Verdana" w:cs="Verdana" w:eastAsia="Verdana" w:hAnsi="Verdana"/>
                <w:sz w:val="17"/>
                <w:szCs w:val="17"/>
              </w:rPr>
            </w:pPr>
            <w:r w:rsidDel="00000000" w:rsidR="00000000" w:rsidRPr="00000000">
              <w:rPr>
                <w:rtl w:val="0"/>
              </w:rPr>
            </w:r>
          </w:p>
          <w:p w:rsidR="00000000" w:rsidDel="00000000" w:rsidP="00000000" w:rsidRDefault="00000000" w:rsidRPr="00000000" w14:paraId="0000007F">
            <w:pPr>
              <w:numPr>
                <w:ilvl w:val="0"/>
                <w:numId w:val="1"/>
              </w:numPr>
              <w:spacing w:line="240" w:lineRule="auto"/>
              <w:ind w:left="720" w:hanging="360"/>
              <w:jc w:val="both"/>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Para fins de IMR, sanções administrativas e glosas, os prazos irão considerar os DIAS ÚTEIS, entre o primeiro dia de descumprimento da obrigação, até o dia anterior à reposição do efetivo de empregados e/ou itens. Com exceção dos itens que, expressamente, citarem que os prazos são contados em dias corridos.</w:t>
            </w:r>
          </w:p>
        </w:tc>
      </w:tr>
    </w:tbl>
    <w:p w:rsidR="00000000" w:rsidDel="00000000" w:rsidP="00000000" w:rsidRDefault="00000000" w:rsidRPr="00000000" w14:paraId="00000081">
      <w:pPr>
        <w:jc w:val="both"/>
        <w:rPr>
          <w:rFonts w:ascii="Verdana" w:cs="Verdana" w:eastAsia="Verdana" w:hAnsi="Verdana"/>
          <w:sz w:val="17"/>
          <w:szCs w:val="17"/>
        </w:rPr>
      </w:pPr>
      <w:r w:rsidDel="00000000" w:rsidR="00000000" w:rsidRPr="00000000">
        <w:rPr>
          <w:rFonts w:ascii="Verdana" w:cs="Verdana" w:eastAsia="Verdana" w:hAnsi="Verdana"/>
          <w:sz w:val="17"/>
          <w:szCs w:val="17"/>
          <w:rtl w:val="0"/>
        </w:rPr>
        <w:t xml:space="preserve"> </w:t>
      </w:r>
    </w:p>
    <w:p w:rsidR="00000000" w:rsidDel="00000000" w:rsidP="00000000" w:rsidRDefault="00000000" w:rsidRPr="00000000" w14:paraId="00000082">
      <w:pPr>
        <w:jc w:val="both"/>
        <w:rPr>
          <w:rFonts w:ascii="Verdana" w:cs="Verdana" w:eastAsia="Verdana" w:hAnsi="Verdana"/>
          <w:b w:val="1"/>
          <w:sz w:val="17"/>
          <w:szCs w:val="17"/>
        </w:rPr>
      </w:pPr>
      <w:r w:rsidDel="00000000" w:rsidR="00000000" w:rsidRPr="00000000">
        <w:rPr>
          <w:rtl w:val="0"/>
        </w:rPr>
      </w:r>
    </w:p>
    <w:p w:rsidR="00000000" w:rsidDel="00000000" w:rsidP="00000000" w:rsidRDefault="00000000" w:rsidRPr="00000000" w14:paraId="00000083">
      <w:pPr>
        <w:jc w:val="center"/>
        <w:rPr>
          <w:rFonts w:ascii="Verdana" w:cs="Verdana" w:eastAsia="Verdana" w:hAnsi="Verdana"/>
          <w:b w:val="1"/>
          <w:sz w:val="20"/>
          <w:szCs w:val="20"/>
        </w:rPr>
      </w:pPr>
      <w:r w:rsidDel="00000000" w:rsidR="00000000" w:rsidRPr="00000000">
        <w:rPr>
          <w:rFonts w:ascii="Verdana" w:cs="Verdana" w:eastAsia="Verdana" w:hAnsi="Verdana"/>
          <w:b w:val="1"/>
          <w:sz w:val="20"/>
          <w:szCs w:val="20"/>
          <w:rtl w:val="0"/>
        </w:rPr>
        <w:t xml:space="preserve">PARECER FINAL DA FISCALIZAÇÃO TÉCNICA</w:t>
      </w:r>
    </w:p>
    <w:p w:rsidR="00000000" w:rsidDel="00000000" w:rsidP="00000000" w:rsidRDefault="00000000" w:rsidRPr="00000000" w14:paraId="00000084">
      <w:pPr>
        <w:jc w:val="center"/>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85">
      <w:pPr>
        <w:spacing w:after="160" w:before="160" w:lineRule="auto"/>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Informamos após avaliar o mês de MÊS DE ANÁLISE (MÊS DE COMPETÊNCIA):</w:t>
      </w:r>
    </w:p>
    <w:p w:rsidR="00000000" w:rsidDel="00000000" w:rsidP="00000000" w:rsidRDefault="00000000" w:rsidRPr="00000000" w14:paraId="00000086">
      <w:pPr>
        <w:spacing w:after="160" w:before="160" w:lineRule="auto"/>
        <w:ind w:left="72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  ) Não foi constatada infração que ensejasse a adequação do pagamento.</w:t>
      </w:r>
    </w:p>
    <w:p w:rsidR="00000000" w:rsidDel="00000000" w:rsidP="00000000" w:rsidRDefault="00000000" w:rsidRPr="00000000" w14:paraId="00000087">
      <w:pPr>
        <w:spacing w:after="160" w:before="160" w:lineRule="auto"/>
        <w:ind w:left="72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 ) Foram constatadas infrações que impactam na adequação do pagamento, conforme exposto abaixo:</w:t>
      </w:r>
    </w:p>
    <w:p w:rsidR="00000000" w:rsidDel="00000000" w:rsidP="00000000" w:rsidRDefault="00000000" w:rsidRPr="00000000" w14:paraId="00000088">
      <w:pPr>
        <w:spacing w:after="160" w:before="160" w:lineRule="auto"/>
        <w:ind w:left="14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Número de infrações Grau 1 (0,2%): ____ </w:t>
      </w:r>
    </w:p>
    <w:p w:rsidR="00000000" w:rsidDel="00000000" w:rsidP="00000000" w:rsidRDefault="00000000" w:rsidRPr="00000000" w14:paraId="00000089">
      <w:pPr>
        <w:spacing w:after="160" w:before="160" w:lineRule="auto"/>
        <w:ind w:left="14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Número de infrações Grau 2 (0,4%): ____ </w:t>
      </w:r>
    </w:p>
    <w:p w:rsidR="00000000" w:rsidDel="00000000" w:rsidP="00000000" w:rsidRDefault="00000000" w:rsidRPr="00000000" w14:paraId="0000008A">
      <w:pPr>
        <w:spacing w:after="160" w:before="160" w:lineRule="auto"/>
        <w:ind w:left="14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Número de infrações Grau 3 (0,6%): ____ </w:t>
      </w:r>
    </w:p>
    <w:p w:rsidR="00000000" w:rsidDel="00000000" w:rsidP="00000000" w:rsidRDefault="00000000" w:rsidRPr="00000000" w14:paraId="0000008B">
      <w:pPr>
        <w:spacing w:after="160" w:before="160" w:lineRule="auto"/>
        <w:ind w:left="14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Número de infrações Grau 4 (0,8%): ____ </w:t>
      </w:r>
    </w:p>
    <w:p w:rsidR="00000000" w:rsidDel="00000000" w:rsidP="00000000" w:rsidRDefault="00000000" w:rsidRPr="00000000" w14:paraId="0000008C">
      <w:pPr>
        <w:spacing w:after="160" w:before="160" w:lineRule="auto"/>
        <w:ind w:left="1440" w:firstLine="0"/>
        <w:jc w:val="both"/>
        <w:rPr>
          <w:rFonts w:ascii="Verdana" w:cs="Verdana" w:eastAsia="Verdana" w:hAnsi="Verdana"/>
          <w:sz w:val="20"/>
          <w:szCs w:val="20"/>
        </w:rPr>
      </w:pPr>
      <w:r w:rsidDel="00000000" w:rsidR="00000000" w:rsidRPr="00000000">
        <w:rPr>
          <w:rFonts w:ascii="Verdana" w:cs="Verdana" w:eastAsia="Verdana" w:hAnsi="Verdana"/>
          <w:sz w:val="20"/>
          <w:szCs w:val="20"/>
          <w:rtl w:val="0"/>
        </w:rPr>
        <w:t xml:space="preserve">Número de infrações Grau 5 (1,0%): ____ </w:t>
      </w:r>
    </w:p>
    <w:p w:rsidR="00000000" w:rsidDel="00000000" w:rsidP="00000000" w:rsidRDefault="00000000" w:rsidRPr="00000000" w14:paraId="0000008D">
      <w:pPr>
        <w:jc w:val="left"/>
        <w:rPr>
          <w:rFonts w:ascii="Verdana" w:cs="Verdana" w:eastAsia="Verdana" w:hAnsi="Verdana"/>
          <w:sz w:val="20"/>
          <w:szCs w:val="20"/>
        </w:rPr>
      </w:pPr>
      <w:r w:rsidDel="00000000" w:rsidR="00000000" w:rsidRPr="00000000">
        <w:rPr>
          <w:rtl w:val="0"/>
        </w:rPr>
      </w:r>
    </w:p>
    <w:p w:rsidR="00000000" w:rsidDel="00000000" w:rsidP="00000000" w:rsidRDefault="00000000" w:rsidRPr="00000000" w14:paraId="0000008E">
      <w:pPr>
        <w:jc w:val="left"/>
        <w:rPr>
          <w:rFonts w:ascii="Verdana" w:cs="Verdana" w:eastAsia="Verdana" w:hAnsi="Verdana"/>
          <w:sz w:val="20"/>
          <w:szCs w:val="20"/>
        </w:rPr>
      </w:pPr>
      <w:r w:rsidDel="00000000" w:rsidR="00000000" w:rsidRPr="00000000">
        <w:rPr>
          <w:rtl w:val="0"/>
        </w:rPr>
      </w:r>
    </w:p>
    <w:p w:rsidR="00000000" w:rsidDel="00000000" w:rsidP="00000000" w:rsidRDefault="00000000" w:rsidRPr="00000000" w14:paraId="0000008F">
      <w:pPr>
        <w:jc w:val="left"/>
        <w:rPr>
          <w:rFonts w:ascii="Verdana" w:cs="Verdana" w:eastAsia="Verdana" w:hAnsi="Verdana"/>
          <w:sz w:val="20"/>
          <w:szCs w:val="20"/>
        </w:rPr>
      </w:pPr>
      <w:r w:rsidDel="00000000" w:rsidR="00000000" w:rsidRPr="00000000">
        <w:rPr>
          <w:rtl w:val="0"/>
        </w:rPr>
      </w:r>
    </w:p>
    <w:p w:rsidR="00000000" w:rsidDel="00000000" w:rsidP="00000000" w:rsidRDefault="00000000" w:rsidRPr="00000000" w14:paraId="00000090">
      <w:pPr>
        <w:jc w:val="center"/>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91">
      <w:pPr>
        <w:jc w:val="center"/>
        <w:rPr>
          <w:rFonts w:ascii="Verdana" w:cs="Verdana" w:eastAsia="Verdana" w:hAnsi="Verdana"/>
          <w:b w:val="1"/>
          <w:sz w:val="20"/>
          <w:szCs w:val="20"/>
        </w:rPr>
      </w:pPr>
      <w:r w:rsidDel="00000000" w:rsidR="00000000" w:rsidRPr="00000000">
        <w:rPr>
          <w:rFonts w:ascii="Verdana" w:cs="Verdana" w:eastAsia="Verdana" w:hAnsi="Verdana"/>
          <w:b w:val="1"/>
          <w:sz w:val="20"/>
          <w:szCs w:val="20"/>
          <w:rtl w:val="0"/>
        </w:rPr>
        <w:t xml:space="preserve">ASSINATURA DO FISCAL TÉCNICO(A)</w:t>
      </w:r>
    </w:p>
    <w:p w:rsidR="00000000" w:rsidDel="00000000" w:rsidP="00000000" w:rsidRDefault="00000000" w:rsidRPr="00000000" w14:paraId="00000092">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Verdan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pt_BR"/>
      </w:rPr>
    </w:rPrDefault>
    <w:pPrDefault>
      <w:pPr>
        <w:spacing w:line="276"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