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5646B0" w14:textId="77777777" w:rsidR="004379DD" w:rsidRPr="002A33CA" w:rsidRDefault="004379DD" w:rsidP="004379DD">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w:t>
      </w:r>
      <w:r>
        <w:rPr>
          <w:rFonts w:ascii="Times New Roman" w:hAnsi="Times New Roman" w:cs="Times New Roman"/>
          <w:i/>
          <w:iCs/>
          <w:color w:val="2F5496" w:themeColor="accent1" w:themeShade="BF"/>
          <w:sz w:val="24"/>
          <w:szCs w:val="24"/>
        </w:rPr>
        <w:t>ão</w:t>
      </w:r>
      <w:r w:rsidRPr="002A33CA">
        <w:rPr>
          <w:rFonts w:ascii="Times New Roman" w:hAnsi="Times New Roman" w:cs="Times New Roman"/>
          <w:i/>
          <w:iCs/>
          <w:color w:val="2F5496" w:themeColor="accent1" w:themeShade="BF"/>
          <w:sz w:val="24"/>
          <w:szCs w:val="24"/>
        </w:rPr>
        <w:t>:</w:t>
      </w:r>
    </w:p>
    <w:p w14:paraId="70A67146" w14:textId="77777777" w:rsidR="004379DD" w:rsidRDefault="004379DD" w:rsidP="004379DD">
      <w:pPr>
        <w:pStyle w:val="PargrafodaLista"/>
        <w:numPr>
          <w:ilvl w:val="0"/>
          <w:numId w:val="1"/>
        </w:numPr>
        <w:spacing w:line="240" w:lineRule="auto"/>
        <w:jc w:val="both"/>
        <w:rPr>
          <w:rFonts w:ascii="Times New Roman" w:hAnsi="Times New Roman" w:cs="Times New Roman"/>
          <w:sz w:val="24"/>
          <w:szCs w:val="24"/>
        </w:rPr>
      </w:pPr>
      <w:r w:rsidRPr="00FF1C77">
        <w:rPr>
          <w:rFonts w:ascii="Times New Roman" w:hAnsi="Times New Roman" w:cs="Times New Roman"/>
          <w:sz w:val="24"/>
          <w:szCs w:val="24"/>
        </w:rPr>
        <w:t xml:space="preserve"> Aquisição de </w:t>
      </w:r>
      <w:r>
        <w:rPr>
          <w:rFonts w:ascii="Times New Roman" w:hAnsi="Times New Roman" w:cs="Times New Roman"/>
          <w:sz w:val="24"/>
          <w:szCs w:val="24"/>
        </w:rPr>
        <w:t>equipamentos</w:t>
      </w:r>
      <w:r w:rsidRPr="00FF1C77">
        <w:rPr>
          <w:rFonts w:ascii="Times New Roman" w:hAnsi="Times New Roman" w:cs="Times New Roman"/>
          <w:sz w:val="24"/>
          <w:szCs w:val="24"/>
        </w:rPr>
        <w:t xml:space="preserve"> médico</w:t>
      </w:r>
      <w:r>
        <w:rPr>
          <w:rFonts w:ascii="Times New Roman" w:hAnsi="Times New Roman" w:cs="Times New Roman"/>
          <w:sz w:val="24"/>
          <w:szCs w:val="24"/>
        </w:rPr>
        <w:t>s</w:t>
      </w:r>
      <w:r w:rsidRPr="00FF1C77">
        <w:rPr>
          <w:rFonts w:ascii="Times New Roman" w:hAnsi="Times New Roman" w:cs="Times New Roman"/>
          <w:sz w:val="24"/>
          <w:szCs w:val="24"/>
        </w:rPr>
        <w:t>, odontológicos e de laboratório</w:t>
      </w:r>
      <w:r>
        <w:rPr>
          <w:rFonts w:ascii="Times New Roman" w:hAnsi="Times New Roman" w:cs="Times New Roman"/>
          <w:sz w:val="24"/>
          <w:szCs w:val="24"/>
        </w:rPr>
        <w:t>.</w:t>
      </w:r>
    </w:p>
    <w:p w14:paraId="3C5480F8" w14:textId="77777777" w:rsidR="004379DD" w:rsidRPr="00FF1C77" w:rsidRDefault="004379DD" w:rsidP="004379DD">
      <w:pPr>
        <w:pStyle w:val="PargrafodaLista"/>
        <w:spacing w:line="240" w:lineRule="auto"/>
        <w:jc w:val="both"/>
        <w:rPr>
          <w:rFonts w:ascii="Times New Roman" w:hAnsi="Times New Roman" w:cs="Times New Roman"/>
          <w:sz w:val="24"/>
          <w:szCs w:val="24"/>
        </w:rPr>
      </w:pPr>
    </w:p>
    <w:p w14:paraId="10E46B5C" w14:textId="77777777" w:rsidR="004379DD" w:rsidRPr="00B05C91" w:rsidRDefault="004379DD" w:rsidP="004379DD">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B05C91">
        <w:rPr>
          <w:rFonts w:ascii="Times New Roman" w:hAnsi="Times New Roman" w:cs="Times New Roman"/>
          <w:i/>
          <w:iCs/>
          <w:color w:val="2F5496" w:themeColor="accent1" w:themeShade="BF"/>
          <w:sz w:val="24"/>
          <w:szCs w:val="24"/>
        </w:rPr>
        <w:t>Requisitos de sustentabilidade</w:t>
      </w:r>
    </w:p>
    <w:p w14:paraId="25F763EB" w14:textId="77777777" w:rsidR="004379DD" w:rsidRPr="00A56C52" w:rsidRDefault="004379DD" w:rsidP="004379DD">
      <w:pPr>
        <w:autoSpaceDE w:val="0"/>
        <w:autoSpaceDN w:val="0"/>
        <w:adjustRightInd w:val="0"/>
        <w:spacing w:after="0" w:line="240" w:lineRule="auto"/>
        <w:jc w:val="both"/>
        <w:rPr>
          <w:rFonts w:ascii="Times New Roman" w:hAnsi="Times New Roman" w:cs="Times New Roman"/>
          <w:i/>
          <w:iCs/>
          <w:sz w:val="24"/>
          <w:szCs w:val="24"/>
        </w:rPr>
      </w:pPr>
    </w:p>
    <w:p w14:paraId="1EC0EA64" w14:textId="77777777" w:rsidR="004379DD" w:rsidRPr="00A56C52" w:rsidRDefault="004379DD" w:rsidP="004379DD">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1. Para os itens abaixo relacionados,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69ECC4C2" w14:textId="31970207" w:rsidR="004379DD" w:rsidRPr="00A56C52" w:rsidRDefault="004379DD" w:rsidP="004379DD">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especificar os itens: listar os itens do termo de referência (</w:t>
      </w:r>
      <w:r w:rsidR="006865F6" w:rsidRPr="00EB1798">
        <w:rPr>
          <w:rFonts w:ascii="Times New Roman" w:hAnsi="Times New Roman" w:cs="Times New Roman"/>
          <w:b/>
          <w:bCs/>
          <w:sz w:val="24"/>
          <w:szCs w:val="24"/>
        </w:rPr>
        <w:t xml:space="preserve">Ver </w:t>
      </w:r>
      <w:hyperlink r:id="rId5" w:history="1">
        <w:r w:rsidR="006865F6" w:rsidRPr="00EB1798">
          <w:rPr>
            <w:rStyle w:val="Hyperlink"/>
            <w:rFonts w:ascii="Times New Roman" w:hAnsi="Times New Roman" w:cs="Times New Roman"/>
            <w:b/>
            <w:bCs/>
            <w:sz w:val="24"/>
            <w:szCs w:val="24"/>
          </w:rPr>
          <w:t>Ficha Técnica de Enquadramento - Categoria 5- Fabricação de ap</w:t>
        </w:r>
        <w:r w:rsidR="006865F6" w:rsidRPr="00EB1798">
          <w:rPr>
            <w:rStyle w:val="Hyperlink"/>
            <w:rFonts w:ascii="Times New Roman" w:hAnsi="Times New Roman" w:cs="Times New Roman"/>
            <w:b/>
            <w:bCs/>
            <w:sz w:val="24"/>
            <w:szCs w:val="24"/>
          </w:rPr>
          <w:t>a</w:t>
        </w:r>
        <w:r w:rsidR="006865F6" w:rsidRPr="00EB1798">
          <w:rPr>
            <w:rStyle w:val="Hyperlink"/>
            <w:rFonts w:ascii="Times New Roman" w:hAnsi="Times New Roman" w:cs="Times New Roman"/>
            <w:b/>
            <w:bCs/>
            <w:sz w:val="24"/>
            <w:szCs w:val="24"/>
          </w:rPr>
          <w:t>relhos elétricos e eletrodomésticos</w:t>
        </w:r>
      </w:hyperlink>
      <w:r w:rsidRPr="00A56C52">
        <w:rPr>
          <w:rFonts w:ascii="Times New Roman" w:hAnsi="Times New Roman" w:cs="Times New Roman"/>
          <w:sz w:val="24"/>
          <w:szCs w:val="24"/>
        </w:rPr>
        <w:t>)</w:t>
      </w:r>
    </w:p>
    <w:p w14:paraId="3B453CCA" w14:textId="77777777" w:rsidR="004379DD" w:rsidRPr="006718ED" w:rsidRDefault="004379DD" w:rsidP="004379DD">
      <w:pPr>
        <w:spacing w:line="240" w:lineRule="auto"/>
        <w:jc w:val="both"/>
        <w:rPr>
          <w:rFonts w:ascii="Times New Roman" w:hAnsi="Times New Roman" w:cs="Times New Roman"/>
          <w:sz w:val="24"/>
          <w:szCs w:val="24"/>
        </w:rPr>
      </w:pPr>
      <w:r>
        <w:rPr>
          <w:rFonts w:ascii="Times New Roman" w:hAnsi="Times New Roman" w:cs="Times New Roman"/>
        </w:rPr>
        <w:t xml:space="preserve">2. </w:t>
      </w:r>
      <w:r w:rsidRPr="00CA38AE">
        <w:rPr>
          <w:rFonts w:ascii="Times New Roman" w:hAnsi="Times New Roman" w:cs="Times New Roman"/>
          <w:sz w:val="24"/>
          <w:szCs w:val="24"/>
        </w:rPr>
        <w:t>Só será admitida a oferta de equipamentos, inclusive suas partes e acessórios, com finalidade médica, odontológica, laboratorial ou fisioterápica, utilizados direta ou indiretamente para diagnóstico, tratamento, reabilitação e monitoração em seres humanos, e equipamentos com finalidade de embelezamento e estética que, nos termos da Portaria INMETRO n° 384, de 18 de dezembro de 2020, cumpram os Requisitos de Avaliação da Conformidade e as Especificações para o Selo de Identificação da Conformidade para Equipamentos sob Regime de Vigilância Sanitária – Consolidado.</w:t>
      </w:r>
      <w:r w:rsidRPr="006718ED">
        <w:rPr>
          <w:rFonts w:ascii="Times New Roman" w:hAnsi="Times New Roman" w:cs="Times New Roman"/>
          <w:sz w:val="24"/>
          <w:szCs w:val="24"/>
        </w:rPr>
        <w:t xml:space="preserve"> </w:t>
      </w:r>
    </w:p>
    <w:p w14:paraId="6A39E3F4" w14:textId="77777777" w:rsidR="004379DD" w:rsidRPr="00AC7E93" w:rsidRDefault="004379DD" w:rsidP="004379DD">
      <w:pPr>
        <w:spacing w:line="240" w:lineRule="auto"/>
        <w:jc w:val="both"/>
        <w:rPr>
          <w:rFonts w:ascii="Times New Roman" w:hAnsi="Times New Roman" w:cs="Times New Roman"/>
          <w:sz w:val="24"/>
          <w:szCs w:val="24"/>
        </w:rPr>
      </w:pPr>
      <w:r w:rsidRPr="006718ED">
        <w:rPr>
          <w:rFonts w:ascii="Times New Roman" w:hAnsi="Times New Roman" w:cs="Times New Roman"/>
          <w:sz w:val="24"/>
          <w:szCs w:val="24"/>
        </w:rPr>
        <w:t>b</w:t>
      </w:r>
      <w:r w:rsidRPr="00A56C52">
        <w:rPr>
          <w:rFonts w:ascii="Times New Roman" w:hAnsi="Times New Roman" w:cs="Times New Roman"/>
          <w:sz w:val="24"/>
          <w:szCs w:val="24"/>
        </w:rPr>
        <w:t>) especificar os itens: listar os itens do termo de referência</w:t>
      </w:r>
      <w:r>
        <w:rPr>
          <w:rFonts w:ascii="Times New Roman" w:hAnsi="Times New Roman" w:cs="Times New Roman"/>
        </w:rPr>
        <w:t xml:space="preserve"> </w:t>
      </w:r>
      <w:r w:rsidRPr="00AC7E93">
        <w:rPr>
          <w:rFonts w:ascii="Times New Roman" w:hAnsi="Times New Roman" w:cs="Times New Roman"/>
          <w:sz w:val="24"/>
          <w:szCs w:val="24"/>
        </w:rPr>
        <w:t xml:space="preserve">(Ver </w:t>
      </w:r>
      <w:hyperlink r:id="rId6" w:history="1">
        <w:r w:rsidRPr="00AC7E93">
          <w:rPr>
            <w:rStyle w:val="Hyperlink"/>
            <w:rFonts w:ascii="Times New Roman" w:hAnsi="Times New Roman" w:cs="Times New Roman"/>
            <w:sz w:val="24"/>
            <w:szCs w:val="24"/>
          </w:rPr>
          <w:t>Equipamentos sob regime de vigilância sanitária — INMETRO</w:t>
        </w:r>
      </w:hyperlink>
      <w:r w:rsidRPr="00AC7E93">
        <w:rPr>
          <w:rFonts w:ascii="Times New Roman" w:hAnsi="Times New Roman" w:cs="Times New Roman"/>
          <w:sz w:val="24"/>
          <w:szCs w:val="24"/>
        </w:rPr>
        <w:t>)</w:t>
      </w:r>
    </w:p>
    <w:p w14:paraId="49EAE7EC" w14:textId="77777777" w:rsidR="004379DD" w:rsidRPr="00A56C52" w:rsidRDefault="004379DD" w:rsidP="004379DD">
      <w:pPr>
        <w:pStyle w:val="Default"/>
        <w:jc w:val="both"/>
        <w:rPr>
          <w:rFonts w:ascii="Times New Roman" w:hAnsi="Times New Roman" w:cs="Times New Roman"/>
        </w:rPr>
      </w:pPr>
    </w:p>
    <w:p w14:paraId="53D0323C" w14:textId="77777777" w:rsidR="004379DD" w:rsidRPr="00A56C52" w:rsidRDefault="004379DD" w:rsidP="004379DD">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7523F80B" w14:textId="77777777" w:rsidR="004379DD" w:rsidRPr="00A56C52" w:rsidRDefault="004379DD" w:rsidP="004379DD">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1</w:t>
      </w:r>
      <w:r w:rsidRPr="00A56C52">
        <w:rPr>
          <w:rFonts w:ascii="Times New Roman" w:hAnsi="Times New Roman" w:cs="Times New Roman"/>
          <w:sz w:val="24"/>
          <w:szCs w:val="24"/>
        </w:rPr>
        <w:t xml:space="preserve">. Para os itens (especificar os itens)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 </w:t>
      </w:r>
    </w:p>
    <w:p w14:paraId="7FEFAC70" w14:textId="77777777" w:rsidR="004379DD" w:rsidRDefault="004379DD" w:rsidP="004379DD">
      <w:pPr>
        <w:pStyle w:val="Default"/>
        <w:jc w:val="both"/>
        <w:rPr>
          <w:rFonts w:ascii="Times New Roman" w:eastAsiaTheme="minorHAnsi" w:hAnsi="Times New Roman" w:cs="Times New Roman"/>
        </w:rPr>
      </w:pPr>
      <w:r w:rsidRPr="00A56C52">
        <w:rPr>
          <w:rFonts w:ascii="Times New Roman" w:hAnsi="Times New Roman" w:cs="Times New Roman"/>
          <w:color w:val="auto"/>
          <w:kern w:val="2"/>
        </w:rPr>
        <w:t xml:space="preserve">a.1) A apresentação do Certificado de Regularidade será dispensada, caso o Pregoeiro logre êxito em </w:t>
      </w:r>
      <w:r w:rsidRPr="00A56C52">
        <w:rPr>
          <w:rFonts w:ascii="Times New Roman" w:eastAsiaTheme="minorHAnsi" w:hAnsi="Times New Roman" w:cs="Times New Roman"/>
        </w:rPr>
        <w:t xml:space="preserve">obtê-lo mediante consulta </w:t>
      </w:r>
      <w:proofErr w:type="spellStart"/>
      <w:r w:rsidRPr="00A56C52">
        <w:rPr>
          <w:rFonts w:ascii="Times New Roman" w:eastAsiaTheme="minorHAnsi" w:hAnsi="Times New Roman" w:cs="Times New Roman"/>
        </w:rPr>
        <w:t>on</w:t>
      </w:r>
      <w:proofErr w:type="spellEnd"/>
      <w:r w:rsidRPr="00A56C52">
        <w:rPr>
          <w:rFonts w:ascii="Times New Roman" w:eastAsiaTheme="minorHAnsi" w:hAnsi="Times New Roman" w:cs="Times New Roman"/>
        </w:rPr>
        <w:t xml:space="preserve"> </w:t>
      </w:r>
      <w:proofErr w:type="spellStart"/>
      <w:r w:rsidRPr="00A56C52">
        <w:rPr>
          <w:rFonts w:ascii="Times New Roman" w:eastAsiaTheme="minorHAnsi" w:hAnsi="Times New Roman" w:cs="Times New Roman"/>
        </w:rPr>
        <w:t>line</w:t>
      </w:r>
      <w:proofErr w:type="spellEnd"/>
      <w:r w:rsidRPr="00A56C52">
        <w:rPr>
          <w:rFonts w:ascii="Times New Roman" w:eastAsiaTheme="minorHAnsi" w:hAnsi="Times New Roman" w:cs="Times New Roman"/>
        </w:rPr>
        <w:t xml:space="preserve"> ao sítio oficial do IBAMA, anexando-o ao processo;</w:t>
      </w:r>
    </w:p>
    <w:p w14:paraId="28B73B00" w14:textId="77777777" w:rsidR="004379DD" w:rsidRDefault="004379DD" w:rsidP="004379DD">
      <w:pPr>
        <w:pStyle w:val="Default"/>
        <w:jc w:val="both"/>
        <w:rPr>
          <w:rFonts w:ascii="Times New Roman" w:eastAsiaTheme="minorHAnsi" w:hAnsi="Times New Roman" w:cs="Times New Roman"/>
        </w:rPr>
      </w:pPr>
    </w:p>
    <w:p w14:paraId="185F41A6" w14:textId="77777777" w:rsidR="004379DD" w:rsidRPr="00C34914" w:rsidRDefault="004379DD" w:rsidP="004379DD">
      <w:pPr>
        <w:pStyle w:val="Default"/>
        <w:jc w:val="both"/>
        <w:rPr>
          <w:rFonts w:ascii="Times New Roman" w:eastAsiaTheme="minorHAnsi" w:hAnsi="Times New Roman" w:cs="Times New Roman"/>
          <w:color w:val="auto"/>
          <w:kern w:val="2"/>
        </w:rPr>
      </w:pPr>
      <w:r w:rsidRPr="00A56C52">
        <w:rPr>
          <w:rFonts w:ascii="Times New Roman" w:hAnsi="Times New Roman" w:cs="Times New Roman"/>
          <w:i/>
          <w:iCs/>
        </w:rPr>
        <w:t xml:space="preserve">Ref. Item </w:t>
      </w:r>
      <w:r>
        <w:rPr>
          <w:rFonts w:ascii="Times New Roman" w:hAnsi="Times New Roman" w:cs="Times New Roman"/>
          <w:i/>
          <w:iCs/>
        </w:rPr>
        <w:t>2</w:t>
      </w:r>
      <w:r w:rsidRPr="00A56C52">
        <w:rPr>
          <w:rFonts w:ascii="Times New Roman" w:hAnsi="Times New Roman" w:cs="Times New Roman"/>
        </w:rPr>
        <w:t>.</w:t>
      </w:r>
      <w:r>
        <w:rPr>
          <w:rFonts w:ascii="Times New Roman" w:hAnsi="Times New Roman" w:cs="Times New Roman"/>
        </w:rPr>
        <w:t xml:space="preserve"> </w:t>
      </w:r>
      <w:r w:rsidRPr="00A56C52">
        <w:rPr>
          <w:rFonts w:ascii="Times New Roman" w:hAnsi="Times New Roman" w:cs="Times New Roman"/>
        </w:rPr>
        <w:t>Para os itens (especificar os itens)</w:t>
      </w:r>
      <w:r>
        <w:rPr>
          <w:rFonts w:ascii="Times New Roman" w:hAnsi="Times New Roman" w:cs="Times New Roman"/>
        </w:rPr>
        <w:t xml:space="preserve">: </w:t>
      </w:r>
      <w:r w:rsidRPr="00C34914">
        <w:rPr>
          <w:rFonts w:ascii="Times New Roman" w:eastAsiaTheme="minorHAnsi" w:hAnsi="Times New Roman" w:cs="Times New Roman"/>
          <w:color w:val="auto"/>
          <w:kern w:val="2"/>
        </w:rPr>
        <w:t xml:space="preserve">Comprovação de que o equipamento sob Regime de Vigilância Sanitária contém o Selo de Identificação da Conformidade do INMETRO afixado nele. </w:t>
      </w:r>
    </w:p>
    <w:p w14:paraId="19663E32" w14:textId="77777777" w:rsidR="004379DD" w:rsidRPr="00A56C52" w:rsidRDefault="004379DD" w:rsidP="004379DD">
      <w:pPr>
        <w:pStyle w:val="Default"/>
        <w:jc w:val="both"/>
        <w:rPr>
          <w:rFonts w:ascii="Times New Roman" w:eastAsiaTheme="minorHAnsi" w:hAnsi="Times New Roman" w:cs="Times New Roman"/>
        </w:rPr>
      </w:pPr>
    </w:p>
    <w:p w14:paraId="026CC32F" w14:textId="77777777" w:rsidR="004379DD" w:rsidRPr="00A56C52" w:rsidRDefault="004379DD" w:rsidP="004379DD">
      <w:pPr>
        <w:autoSpaceDE w:val="0"/>
        <w:autoSpaceDN w:val="0"/>
        <w:adjustRightInd w:val="0"/>
        <w:spacing w:after="0" w:line="240" w:lineRule="auto"/>
        <w:jc w:val="both"/>
        <w:rPr>
          <w:rFonts w:ascii="Times New Roman" w:hAnsi="Times New Roman" w:cs="Times New Roman"/>
          <w:i/>
          <w:iCs/>
          <w:sz w:val="24"/>
          <w:szCs w:val="24"/>
        </w:rPr>
      </w:pPr>
    </w:p>
    <w:p w14:paraId="21888C56" w14:textId="77777777" w:rsidR="004379DD" w:rsidRPr="00A56C52" w:rsidRDefault="004379DD" w:rsidP="004379DD">
      <w:pPr>
        <w:spacing w:line="240" w:lineRule="auto"/>
        <w:jc w:val="both"/>
        <w:rPr>
          <w:rFonts w:ascii="Times New Roman" w:hAnsi="Times New Roman" w:cs="Times New Roman"/>
          <w:i/>
          <w:iCs/>
          <w:sz w:val="24"/>
          <w:szCs w:val="24"/>
        </w:rPr>
      </w:pPr>
      <w:r w:rsidRPr="00A56C52">
        <w:rPr>
          <w:rFonts w:ascii="Times New Roman" w:hAnsi="Times New Roman" w:cs="Times New Roman"/>
          <w:i/>
          <w:iCs/>
          <w:sz w:val="24"/>
          <w:szCs w:val="24"/>
        </w:rPr>
        <w:t xml:space="preserve">OBS: O INMETRO estabelece </w:t>
      </w:r>
      <w:r w:rsidRPr="00A56C52">
        <w:rPr>
          <w:rFonts w:ascii="Times New Roman" w:hAnsi="Times New Roman" w:cs="Times New Roman"/>
          <w:b/>
          <w:bCs/>
          <w:i/>
          <w:iCs/>
          <w:sz w:val="24"/>
          <w:szCs w:val="24"/>
        </w:rPr>
        <w:t>Requisitos de Avaliação de Conformidade relativos à eficiência energética e exigência de Etiqueta Nacional de Conservação de Energia – ENCE</w:t>
      </w:r>
      <w:r w:rsidRPr="00A56C52">
        <w:rPr>
          <w:rFonts w:ascii="Times New Roman" w:hAnsi="Times New Roman" w:cs="Times New Roman"/>
          <w:i/>
          <w:iCs/>
          <w:sz w:val="24"/>
          <w:szCs w:val="24"/>
        </w:rPr>
        <w:t xml:space="preserve"> para diversos equipamentos que constam da lista de compulsórios, a exemplo de aquecedores de água </w:t>
      </w:r>
      <w:proofErr w:type="gramStart"/>
      <w:r w:rsidRPr="00A56C52">
        <w:rPr>
          <w:rFonts w:ascii="Times New Roman" w:hAnsi="Times New Roman" w:cs="Times New Roman"/>
          <w:i/>
          <w:iCs/>
          <w:sz w:val="24"/>
          <w:szCs w:val="24"/>
        </w:rPr>
        <w:t>à</w:t>
      </w:r>
      <w:proofErr w:type="gramEnd"/>
      <w:r w:rsidRPr="00A56C52">
        <w:rPr>
          <w:rFonts w:ascii="Times New Roman" w:hAnsi="Times New Roman" w:cs="Times New Roman"/>
          <w:i/>
          <w:iCs/>
          <w:sz w:val="24"/>
          <w:szCs w:val="24"/>
        </w:rPr>
        <w:t xml:space="preserve"> gás e de bombas centrífugas e diversos outros. </w:t>
      </w:r>
      <w:r w:rsidRPr="00A56C52">
        <w:rPr>
          <w:rFonts w:ascii="Times New Roman" w:hAnsi="Times New Roman" w:cs="Times New Roman"/>
          <w:b/>
          <w:bCs/>
          <w:i/>
          <w:iCs/>
          <w:sz w:val="24"/>
          <w:szCs w:val="24"/>
        </w:rPr>
        <w:t>Recomenda-se verificar se algum item da aquisição faz parte da lista de compulsórios em</w:t>
      </w:r>
      <w:r w:rsidRPr="00A56C52">
        <w:rPr>
          <w:rFonts w:ascii="Times New Roman" w:hAnsi="Times New Roman" w:cs="Times New Roman"/>
          <w:i/>
          <w:iCs/>
          <w:sz w:val="24"/>
          <w:szCs w:val="24"/>
        </w:rPr>
        <w:t xml:space="preserve">: </w:t>
      </w:r>
      <w:hyperlink r:id="rId7" w:history="1">
        <w:r w:rsidRPr="00A56C52">
          <w:rPr>
            <w:rStyle w:val="Hyperlink"/>
            <w:rFonts w:ascii="Times New Roman" w:hAnsi="Times New Roman" w:cs="Times New Roman"/>
            <w:i/>
            <w:iCs/>
            <w:sz w:val="24"/>
            <w:szCs w:val="24"/>
          </w:rPr>
          <w:t>http://www.inmetro.gov.br/qualidade/rtepac/compulsorios.asp</w:t>
        </w:r>
      </w:hyperlink>
      <w:r w:rsidRPr="00A56C52">
        <w:rPr>
          <w:rFonts w:ascii="Times New Roman" w:hAnsi="Times New Roman" w:cs="Times New Roman"/>
          <w:i/>
          <w:iCs/>
          <w:sz w:val="24"/>
          <w:szCs w:val="24"/>
        </w:rPr>
        <w:t xml:space="preserve"> Caso positivo, incluir os requisitos de sustentabilidade previstos no item 4. APARELHOS ELÉTRICOS EM GERAL, pg. 68 a 71 do Guia Nacional de Contratações Sustentáveis 2024 para o(s) referido(s) item(</w:t>
      </w:r>
      <w:proofErr w:type="spellStart"/>
      <w:r w:rsidRPr="00A56C52">
        <w:rPr>
          <w:rFonts w:ascii="Times New Roman" w:hAnsi="Times New Roman" w:cs="Times New Roman"/>
          <w:i/>
          <w:iCs/>
          <w:sz w:val="24"/>
          <w:szCs w:val="24"/>
        </w:rPr>
        <w:t>ns</w:t>
      </w:r>
      <w:proofErr w:type="spellEnd"/>
      <w:r w:rsidRPr="00A56C52">
        <w:rPr>
          <w:rFonts w:ascii="Times New Roman" w:hAnsi="Times New Roman" w:cs="Times New Roman"/>
          <w:i/>
          <w:iCs/>
          <w:sz w:val="24"/>
          <w:szCs w:val="24"/>
        </w:rPr>
        <w:t>).</w:t>
      </w:r>
    </w:p>
    <w:p w14:paraId="0E7C83CF" w14:textId="77777777" w:rsidR="004379DD" w:rsidRPr="00A56C52" w:rsidRDefault="004379DD" w:rsidP="004379DD">
      <w:pPr>
        <w:spacing w:line="240" w:lineRule="auto"/>
        <w:jc w:val="both"/>
        <w:rPr>
          <w:rFonts w:ascii="Times New Roman" w:hAnsi="Times New Roman" w:cs="Times New Roman"/>
          <w:i/>
          <w:iCs/>
          <w:sz w:val="24"/>
          <w:szCs w:val="24"/>
        </w:rPr>
      </w:pPr>
    </w:p>
    <w:p w14:paraId="59D94808" w14:textId="77777777" w:rsidR="004379DD" w:rsidRPr="002C57AF" w:rsidRDefault="004379DD" w:rsidP="004379DD">
      <w:pPr>
        <w:spacing w:line="240" w:lineRule="auto"/>
        <w:jc w:val="both"/>
        <w:rPr>
          <w:rFonts w:ascii="Times New Roman" w:hAnsi="Times New Roman" w:cs="Times New Roman"/>
          <w:color w:val="2F5496" w:themeColor="accent1" w:themeShade="BF"/>
          <w:sz w:val="24"/>
          <w:szCs w:val="24"/>
        </w:rPr>
      </w:pPr>
      <w:r w:rsidRPr="002C57AF">
        <w:rPr>
          <w:rFonts w:ascii="Times New Roman" w:hAnsi="Times New Roman" w:cs="Times New Roman"/>
          <w:i/>
          <w:iCs/>
          <w:color w:val="2F5496" w:themeColor="accent1" w:themeShade="BF"/>
          <w:sz w:val="24"/>
          <w:szCs w:val="24"/>
        </w:rPr>
        <w:t>Possíveis impactos ambientais:</w:t>
      </w:r>
    </w:p>
    <w:p w14:paraId="7FAD3EB5" w14:textId="77777777" w:rsidR="004379DD" w:rsidRPr="00A56C52" w:rsidRDefault="004379DD" w:rsidP="004379DD">
      <w:pPr>
        <w:pStyle w:val="Default"/>
        <w:jc w:val="both"/>
        <w:rPr>
          <w:rFonts w:ascii="Times New Roman" w:eastAsiaTheme="minorHAnsi" w:hAnsi="Times New Roman" w:cs="Times New Roman"/>
          <w:color w:val="auto"/>
          <w:kern w:val="2"/>
        </w:rPr>
      </w:pPr>
      <w:r w:rsidRPr="00A56C52">
        <w:rPr>
          <w:rFonts w:ascii="Times New Roman" w:eastAsiaTheme="minorHAnsi" w:hAnsi="Times New Roman" w:cs="Times New Roman"/>
          <w:color w:val="auto"/>
          <w:kern w:val="2"/>
        </w:rPr>
        <w:t>A aquisição em si não gera impactos ambientais diretamente. Porém, foram adotados requisitos no sentido de se adquirir produtos que causem menores danos ao meio ambiente.</w:t>
      </w:r>
    </w:p>
    <w:p w14:paraId="344BA3DC" w14:textId="77777777" w:rsidR="004379DD" w:rsidRPr="00A56C52" w:rsidRDefault="004379DD" w:rsidP="004379DD">
      <w:pPr>
        <w:pStyle w:val="Default"/>
        <w:jc w:val="both"/>
        <w:rPr>
          <w:rFonts w:ascii="Times New Roman" w:hAnsi="Times New Roman" w:cs="Times New Roman"/>
          <w:color w:val="auto"/>
        </w:rPr>
      </w:pPr>
      <w:r w:rsidRPr="00A56C52">
        <w:rPr>
          <w:rFonts w:ascii="Times New Roman" w:eastAsiaTheme="minorHAnsi" w:hAnsi="Times New Roman" w:cs="Times New Roman"/>
          <w:color w:val="auto"/>
          <w:kern w:val="2"/>
        </w:rPr>
        <w:t xml:space="preserve">Nesse sentido, alguns itens a serem adquiridos se enquadram nas categorias </w:t>
      </w:r>
      <w:r w:rsidRPr="00A56C52">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A56C52">
        <w:rPr>
          <w:rFonts w:ascii="Times New Roman" w:eastAsiaTheme="minorHAnsi" w:hAnsi="Times New Roman" w:cs="Times New Roman"/>
          <w:color w:val="auto"/>
          <w:kern w:val="2"/>
        </w:rPr>
        <w:t>registro do fabricante do produto no Cadastro Técnico Federal de Atividades Potencialmente Poluidoras ou Utilizadoras de Recursos Ambientais do IBAMA.</w:t>
      </w:r>
    </w:p>
    <w:p w14:paraId="54D9FD5F" w14:textId="77777777" w:rsidR="004379DD" w:rsidRPr="00A56C52" w:rsidRDefault="004379DD" w:rsidP="004379DD">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Cita-se, especificamente, a Categoria 5-3 de FABRICANTES do Anexo I da Instrução Normativa IBAMA n° 13/2021):</w:t>
      </w:r>
    </w:p>
    <w:p w14:paraId="49DA062B" w14:textId="77777777" w:rsidR="004379DD" w:rsidRPr="00A56C52" w:rsidRDefault="004379DD" w:rsidP="004379DD">
      <w:pPr>
        <w:autoSpaceDE w:val="0"/>
        <w:autoSpaceDN w:val="0"/>
        <w:adjustRightInd w:val="0"/>
        <w:spacing w:after="0" w:line="240" w:lineRule="auto"/>
        <w:jc w:val="both"/>
        <w:rPr>
          <w:rFonts w:ascii="Times New Roman" w:hAnsi="Times New Roman" w:cs="Times New Roman"/>
          <w:kern w:val="0"/>
          <w:sz w:val="24"/>
          <w:szCs w:val="24"/>
        </w:rPr>
      </w:pPr>
    </w:p>
    <w:p w14:paraId="4C2B8599" w14:textId="77777777" w:rsidR="004379DD" w:rsidRPr="00A56C52" w:rsidRDefault="00000000" w:rsidP="004379DD">
      <w:pPr>
        <w:autoSpaceDE w:val="0"/>
        <w:autoSpaceDN w:val="0"/>
        <w:adjustRightInd w:val="0"/>
        <w:spacing w:after="0" w:line="240" w:lineRule="auto"/>
        <w:jc w:val="both"/>
        <w:rPr>
          <w:rFonts w:ascii="Times New Roman" w:hAnsi="Times New Roman" w:cs="Times New Roman"/>
          <w:kern w:val="0"/>
          <w:sz w:val="24"/>
          <w:szCs w:val="24"/>
        </w:rPr>
      </w:pPr>
      <w:hyperlink r:id="rId8" w:history="1">
        <w:r w:rsidR="004379DD" w:rsidRPr="00A56C52">
          <w:rPr>
            <w:rStyle w:val="Hyperlink"/>
            <w:rFonts w:ascii="Times New Roman" w:eastAsia="Malgun Gothic" w:hAnsi="Times New Roman" w:cs="Times New Roman"/>
            <w:kern w:val="0"/>
            <w:sz w:val="24"/>
            <w:szCs w:val="24"/>
          </w:rPr>
          <w:t>Categoria 5 - Indústria de Material Elétrico, Eletrônico e Comunicações - 5-3: Fabricação de aparelhos elétricos e eletrodomésticos</w:t>
        </w:r>
      </w:hyperlink>
    </w:p>
    <w:p w14:paraId="3CB12097" w14:textId="77777777" w:rsidR="004379DD" w:rsidRPr="00A56C52" w:rsidRDefault="004379DD" w:rsidP="004379DD">
      <w:pPr>
        <w:autoSpaceDE w:val="0"/>
        <w:autoSpaceDN w:val="0"/>
        <w:adjustRightInd w:val="0"/>
        <w:spacing w:after="0" w:line="240" w:lineRule="auto"/>
        <w:jc w:val="both"/>
        <w:rPr>
          <w:rFonts w:ascii="Times New Roman" w:hAnsi="Times New Roman" w:cs="Times New Roman"/>
          <w:kern w:val="0"/>
          <w:sz w:val="24"/>
          <w:szCs w:val="24"/>
        </w:rPr>
      </w:pPr>
    </w:p>
    <w:p w14:paraId="723C0ACF" w14:textId="77777777" w:rsidR="004379DD" w:rsidRDefault="004379DD" w:rsidP="004379D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Também há produtos que necessitam </w:t>
      </w:r>
      <w:r w:rsidRPr="00CA38AE">
        <w:rPr>
          <w:rFonts w:ascii="Times New Roman" w:hAnsi="Times New Roman" w:cs="Times New Roman"/>
          <w:sz w:val="24"/>
          <w:szCs w:val="24"/>
        </w:rPr>
        <w:t>cumpr</w:t>
      </w:r>
      <w:r>
        <w:rPr>
          <w:rFonts w:ascii="Times New Roman" w:hAnsi="Times New Roman" w:cs="Times New Roman"/>
          <w:sz w:val="24"/>
          <w:szCs w:val="24"/>
        </w:rPr>
        <w:t>ir</w:t>
      </w:r>
      <w:r w:rsidRPr="00CA38AE">
        <w:rPr>
          <w:rFonts w:ascii="Times New Roman" w:hAnsi="Times New Roman" w:cs="Times New Roman"/>
          <w:sz w:val="24"/>
          <w:szCs w:val="24"/>
        </w:rPr>
        <w:t xml:space="preserve"> os Requisitos de Avaliação da Conformidade e as Especificações para o Selo de Identificação da Conformidade para Equipamentos sob Regime de Vigilância Sanitária – Consolidado</w:t>
      </w:r>
    </w:p>
    <w:p w14:paraId="04778BC2" w14:textId="77777777" w:rsidR="004379DD" w:rsidRDefault="004379DD" w:rsidP="004379DD">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79393BF5" w14:textId="77777777" w:rsidR="004379DD" w:rsidRDefault="004379DD"/>
    <w:sectPr w:rsidR="004379D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0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9DD"/>
    <w:rsid w:val="000E386B"/>
    <w:rsid w:val="001706C2"/>
    <w:rsid w:val="004379DD"/>
    <w:rsid w:val="006865F6"/>
    <w:rsid w:val="00762087"/>
    <w:rsid w:val="00876C86"/>
    <w:rsid w:val="00A54EB9"/>
    <w:rsid w:val="00C179A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4CBA3"/>
  <w15:chartTrackingRefBased/>
  <w15:docId w15:val="{A4922646-3011-45B7-A20F-7C8C8DF48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379DD"/>
    <w:pPr>
      <w:ind w:left="720"/>
      <w:contextualSpacing/>
    </w:pPr>
  </w:style>
  <w:style w:type="paragraph" w:customStyle="1" w:styleId="Default">
    <w:name w:val="Default"/>
    <w:rsid w:val="004379DD"/>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4379DD"/>
    <w:rPr>
      <w:color w:val="0563C1" w:themeColor="hyperlink"/>
      <w:u w:val="single"/>
    </w:rPr>
  </w:style>
  <w:style w:type="character" w:styleId="HiperlinkVisitado">
    <w:name w:val="FollowedHyperlink"/>
    <w:basedOn w:val="Fontepargpadro"/>
    <w:uiPriority w:val="99"/>
    <w:semiHidden/>
    <w:unhideWhenUsed/>
    <w:rsid w:val="006865F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br/ibama/pt-br/servicos/cadastros/ctf/ctf-app/ftes/lista-de-todas-as-ftes/ftes-categoria-5-industria-de-material-eletrico-eletronico-e-comunicacoes-5-3-fabricacao-de-aparelhos-eletricos-e-eletrodomesticos" TargetMode="External"/><Relationship Id="rId3" Type="http://schemas.openxmlformats.org/officeDocument/2006/relationships/settings" Target="settings.xml"/><Relationship Id="rId7" Type="http://schemas.openxmlformats.org/officeDocument/2006/relationships/hyperlink" Target="http://www.inmetro.gov.br/qualidade/rtepac/compulsorios.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br/inmetro/pt-br/acesso-a-informacao/perguntas-frequentes/avaliacao-da-conformidade/equipamentos-sob-regime-de-vigilancia-sanitaria" TargetMode="External"/><Relationship Id="rId5" Type="http://schemas.openxmlformats.org/officeDocument/2006/relationships/hyperlink" Target="https://sei.ibama.gov.br/documento_consulta_externa.php?id_acesso_externo=998936&amp;id_documento=16777832&amp;infra_hash=eaaf91045ed413e2d12b8327d97bd32b"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789</Words>
  <Characters>4264</Characters>
  <Application>Microsoft Office Word</Application>
  <DocSecurity>0</DocSecurity>
  <Lines>35</Lines>
  <Paragraphs>10</Paragraphs>
  <ScaleCrop>false</ScaleCrop>
  <Company/>
  <LinksUpToDate>false</LinksUpToDate>
  <CharactersWithSpaces>5043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4</cp:revision>
  <dcterms:created xsi:type="dcterms:W3CDTF">2025-08-07T13:45:00Z</dcterms:created>
  <dcterms:modified xsi:type="dcterms:W3CDTF">2025-08-16T17:59:00Z</dcterms:modified>
</cp:coreProperties>
</file>