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1D8F516" w14:textId="1C87A161" w:rsidR="00686FB2" w:rsidRPr="002A33CA" w:rsidRDefault="00686FB2" w:rsidP="00686FB2">
      <w:pPr>
        <w:spacing w:line="240" w:lineRule="auto"/>
        <w:jc w:val="both"/>
        <w:rPr>
          <w:rFonts w:ascii="Times New Roman" w:hAnsi="Times New Roman" w:cs="Times New Roman"/>
          <w:i/>
          <w:iCs/>
          <w:color w:val="2F5496" w:themeColor="accent1" w:themeShade="BF"/>
          <w:sz w:val="24"/>
          <w:szCs w:val="24"/>
        </w:rPr>
      </w:pPr>
      <w:r w:rsidRPr="002A33CA">
        <w:rPr>
          <w:rFonts w:ascii="Times New Roman" w:hAnsi="Times New Roman" w:cs="Times New Roman"/>
          <w:i/>
          <w:iCs/>
          <w:color w:val="2F5496" w:themeColor="accent1" w:themeShade="BF"/>
          <w:sz w:val="24"/>
          <w:szCs w:val="24"/>
        </w:rPr>
        <w:t>Pregão:</w:t>
      </w:r>
    </w:p>
    <w:p w14:paraId="4B3F17FF" w14:textId="77777777" w:rsidR="00686FB2" w:rsidRDefault="00686FB2" w:rsidP="00686FB2">
      <w:pPr>
        <w:pStyle w:val="PargrafodaLista"/>
        <w:numPr>
          <w:ilvl w:val="0"/>
          <w:numId w:val="1"/>
        </w:numPr>
        <w:spacing w:line="240" w:lineRule="auto"/>
        <w:jc w:val="both"/>
        <w:rPr>
          <w:rFonts w:ascii="Times New Roman" w:hAnsi="Times New Roman" w:cs="Times New Roman"/>
          <w:sz w:val="24"/>
          <w:szCs w:val="24"/>
        </w:rPr>
      </w:pPr>
      <w:r w:rsidRPr="009E2E76">
        <w:rPr>
          <w:rFonts w:ascii="Times New Roman" w:hAnsi="Times New Roman" w:cs="Times New Roman"/>
          <w:sz w:val="24"/>
          <w:szCs w:val="24"/>
        </w:rPr>
        <w:t xml:space="preserve"> Gêneros de alimentação – hortifruti; queijos, carnes e refrigerados; não perecíveis e semi perecíveis.</w:t>
      </w:r>
    </w:p>
    <w:p w14:paraId="4E8864A8" w14:textId="77777777" w:rsidR="00686FB2" w:rsidRPr="009E2E76" w:rsidRDefault="00686FB2" w:rsidP="00686FB2">
      <w:pPr>
        <w:pStyle w:val="PargrafodaLista"/>
        <w:spacing w:line="240" w:lineRule="auto"/>
        <w:jc w:val="both"/>
        <w:rPr>
          <w:rFonts w:ascii="Times New Roman" w:hAnsi="Times New Roman" w:cs="Times New Roman"/>
          <w:sz w:val="24"/>
          <w:szCs w:val="24"/>
        </w:rPr>
      </w:pPr>
    </w:p>
    <w:p w14:paraId="618A64C2" w14:textId="77777777" w:rsidR="00686FB2" w:rsidRPr="009E2E76" w:rsidRDefault="00686FB2" w:rsidP="00686FB2">
      <w:pPr>
        <w:autoSpaceDE w:val="0"/>
        <w:autoSpaceDN w:val="0"/>
        <w:adjustRightInd w:val="0"/>
        <w:spacing w:after="0" w:line="240" w:lineRule="auto"/>
        <w:jc w:val="both"/>
        <w:rPr>
          <w:rFonts w:ascii="Times New Roman" w:hAnsi="Times New Roman" w:cs="Times New Roman"/>
          <w:i/>
          <w:iCs/>
          <w:color w:val="2F5496" w:themeColor="accent1" w:themeShade="BF"/>
          <w:sz w:val="24"/>
          <w:szCs w:val="24"/>
        </w:rPr>
      </w:pPr>
      <w:r w:rsidRPr="009E2E76">
        <w:rPr>
          <w:rFonts w:ascii="Times New Roman" w:hAnsi="Times New Roman" w:cs="Times New Roman"/>
          <w:i/>
          <w:iCs/>
          <w:color w:val="2F5496" w:themeColor="accent1" w:themeShade="BF"/>
          <w:sz w:val="24"/>
          <w:szCs w:val="24"/>
        </w:rPr>
        <w:t>Requisitos de sustentabilidade:</w:t>
      </w:r>
    </w:p>
    <w:p w14:paraId="15485D9E" w14:textId="77777777" w:rsidR="00686FB2" w:rsidRPr="00A56C52" w:rsidRDefault="00686FB2" w:rsidP="00686FB2">
      <w:pPr>
        <w:autoSpaceDE w:val="0"/>
        <w:autoSpaceDN w:val="0"/>
        <w:adjustRightInd w:val="0"/>
        <w:spacing w:after="0" w:line="240" w:lineRule="auto"/>
        <w:jc w:val="both"/>
        <w:rPr>
          <w:rFonts w:ascii="Times New Roman" w:hAnsi="Times New Roman" w:cs="Times New Roman"/>
          <w:color w:val="000000"/>
          <w:kern w:val="0"/>
          <w:sz w:val="24"/>
          <w:szCs w:val="24"/>
        </w:rPr>
      </w:pPr>
    </w:p>
    <w:p w14:paraId="620594B8" w14:textId="3D2E83F9" w:rsidR="00686FB2" w:rsidRPr="00A56C52" w:rsidRDefault="00686FB2" w:rsidP="00686FB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Pr="00A56C52">
        <w:rPr>
          <w:rFonts w:ascii="Times New Roman" w:hAnsi="Times New Roman" w:cs="Times New Roman"/>
          <w:sz w:val="24"/>
          <w:szCs w:val="24"/>
        </w:rPr>
        <w:t xml:space="preserve">Verificar o </w:t>
      </w:r>
      <w:hyperlink r:id="rId5" w:history="1">
        <w:r w:rsidR="00295FF0">
          <w:rPr>
            <w:rStyle w:val="Hyperlink"/>
            <w:rFonts w:ascii="Times New Roman" w:hAnsi="Times New Roman" w:cs="Times New Roman"/>
            <w:sz w:val="24"/>
            <w:szCs w:val="24"/>
          </w:rPr>
          <w:t>Catálogo Eletrônico de Padronização</w:t>
        </w:r>
      </w:hyperlink>
      <w:r w:rsidRPr="00A56C52">
        <w:rPr>
          <w:rFonts w:ascii="Times New Roman" w:hAnsi="Times New Roman" w:cs="Times New Roman"/>
          <w:sz w:val="24"/>
          <w:szCs w:val="24"/>
        </w:rPr>
        <w:t xml:space="preserve"> de compras (Portaria SEGES/ME nº 938/2022 e art. 19. II da Lei nº 14.133/2021), de observância obrigatória pelos órgãos e entidades da Administração Pública federal. No momento, apenas alguns itens de gêneros alimentícios foram previstos e outros itens serão gradativamente incorporados</w:t>
      </w:r>
      <w:r w:rsidR="00D85C87">
        <w:rPr>
          <w:rFonts w:ascii="Times New Roman" w:hAnsi="Times New Roman" w:cs="Times New Roman"/>
          <w:sz w:val="24"/>
          <w:szCs w:val="24"/>
        </w:rPr>
        <w:t xml:space="preserve"> (</w:t>
      </w:r>
      <w:r w:rsidR="00D85C87" w:rsidRPr="00D85C87">
        <w:rPr>
          <w:rFonts w:ascii="Times New Roman" w:hAnsi="Times New Roman" w:cs="Times New Roman"/>
          <w:i/>
          <w:iCs/>
          <w:sz w:val="24"/>
          <w:szCs w:val="24"/>
        </w:rPr>
        <w:t>Ex.: água mineral, café e açúcar</w:t>
      </w:r>
      <w:r w:rsidR="00D85C87">
        <w:rPr>
          <w:rFonts w:ascii="Times New Roman" w:hAnsi="Times New Roman" w:cs="Times New Roman"/>
          <w:sz w:val="24"/>
          <w:szCs w:val="24"/>
        </w:rPr>
        <w:t>)</w:t>
      </w:r>
      <w:r w:rsidR="00295FF0">
        <w:rPr>
          <w:rFonts w:ascii="Times New Roman" w:hAnsi="Times New Roman" w:cs="Times New Roman"/>
          <w:sz w:val="24"/>
          <w:szCs w:val="24"/>
        </w:rPr>
        <w:t>.</w:t>
      </w:r>
      <w:r w:rsidR="008357BF">
        <w:rPr>
          <w:rFonts w:ascii="Times New Roman" w:hAnsi="Times New Roman" w:cs="Times New Roman"/>
          <w:sz w:val="24"/>
          <w:szCs w:val="24"/>
        </w:rPr>
        <w:t xml:space="preserve"> </w:t>
      </w:r>
      <w:r w:rsidRPr="00A56C52">
        <w:rPr>
          <w:rFonts w:ascii="Times New Roman" w:hAnsi="Times New Roman" w:cs="Times New Roman"/>
          <w:sz w:val="24"/>
          <w:szCs w:val="24"/>
        </w:rPr>
        <w:t xml:space="preserve">Atentar para as orientações específicas caso o item ou itens esteja(m) previsto(s) no catálogo. A não utilização do catálogo exige justificativa. </w:t>
      </w:r>
    </w:p>
    <w:p w14:paraId="0B274478" w14:textId="334000AA" w:rsidR="00686FB2" w:rsidRPr="00A56C52" w:rsidRDefault="00686FB2" w:rsidP="00686FB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Pr="00A56C52">
        <w:rPr>
          <w:rFonts w:ascii="Times New Roman" w:hAnsi="Times New Roman" w:cs="Times New Roman"/>
          <w:sz w:val="24"/>
          <w:szCs w:val="24"/>
        </w:rPr>
        <w:t>A depender dos gêneros alimentícios que serão licitados, recomenda-se a área técnica verificar se haveria a incidência dos requisitos a seguir transcritos (identificando para qual ou quais itens deve(m) ser feita(s) a(s) exigência(s)</w:t>
      </w:r>
      <w:r w:rsidR="00E147D6">
        <w:rPr>
          <w:rFonts w:ascii="Times New Roman" w:hAnsi="Times New Roman" w:cs="Times New Roman"/>
          <w:sz w:val="24"/>
          <w:szCs w:val="24"/>
        </w:rPr>
        <w:t>)</w:t>
      </w:r>
      <w:r w:rsidRPr="00A56C52">
        <w:rPr>
          <w:rFonts w:ascii="Times New Roman" w:hAnsi="Times New Roman" w:cs="Times New Roman"/>
          <w:sz w:val="24"/>
          <w:szCs w:val="24"/>
        </w:rPr>
        <w:t xml:space="preserve">: </w:t>
      </w:r>
    </w:p>
    <w:p w14:paraId="7C7A591A" w14:textId="77777777" w:rsidR="00686FB2" w:rsidRPr="009571C3" w:rsidRDefault="00686FB2" w:rsidP="00686FB2">
      <w:pPr>
        <w:autoSpaceDE w:val="0"/>
        <w:autoSpaceDN w:val="0"/>
        <w:adjustRightInd w:val="0"/>
        <w:spacing w:after="0" w:line="240" w:lineRule="auto"/>
        <w:jc w:val="both"/>
        <w:rPr>
          <w:rFonts w:ascii="Times New Roman" w:hAnsi="Times New Roman" w:cs="Times New Roman"/>
          <w:b/>
          <w:bCs/>
          <w:color w:val="000000"/>
          <w:kern w:val="0"/>
          <w:sz w:val="24"/>
          <w:szCs w:val="24"/>
        </w:rPr>
      </w:pPr>
      <w:r w:rsidRPr="00A56C52">
        <w:rPr>
          <w:rFonts w:ascii="Times New Roman" w:hAnsi="Times New Roman" w:cs="Times New Roman"/>
          <w:b/>
          <w:bCs/>
          <w:color w:val="000000"/>
          <w:kern w:val="0"/>
          <w:sz w:val="24"/>
          <w:szCs w:val="24"/>
        </w:rPr>
        <w:t xml:space="preserve">Consulte o site da Anvisa para verificação técnica se o alimento a ser adquirido precisa de registro ou está dispensado: </w:t>
      </w:r>
    </w:p>
    <w:p w14:paraId="7CB92C68" w14:textId="77777777" w:rsidR="00686FB2" w:rsidRPr="008606A6" w:rsidRDefault="00000000" w:rsidP="00686FB2">
      <w:pPr>
        <w:autoSpaceDE w:val="0"/>
        <w:autoSpaceDN w:val="0"/>
        <w:adjustRightInd w:val="0"/>
        <w:spacing w:after="0" w:line="240" w:lineRule="auto"/>
        <w:jc w:val="both"/>
        <w:rPr>
          <w:rFonts w:ascii="Times New Roman" w:hAnsi="Times New Roman" w:cs="Times New Roman"/>
          <w:sz w:val="24"/>
          <w:szCs w:val="24"/>
        </w:rPr>
      </w:pPr>
      <w:hyperlink r:id="rId6" w:history="1">
        <w:r w:rsidR="00686FB2" w:rsidRPr="008606A6">
          <w:rPr>
            <w:rStyle w:val="Hyperlink"/>
            <w:rFonts w:ascii="Times New Roman" w:hAnsi="Times New Roman" w:cs="Times New Roman"/>
            <w:sz w:val="24"/>
            <w:szCs w:val="24"/>
          </w:rPr>
          <w:t>Alimentos — Agência Nacional de Vigilância Sanitária - Anvisa</w:t>
        </w:r>
      </w:hyperlink>
    </w:p>
    <w:p w14:paraId="66E99C9F" w14:textId="77777777" w:rsidR="00686FB2" w:rsidRPr="008606A6" w:rsidRDefault="00000000" w:rsidP="00686FB2">
      <w:pPr>
        <w:autoSpaceDE w:val="0"/>
        <w:autoSpaceDN w:val="0"/>
        <w:adjustRightInd w:val="0"/>
        <w:spacing w:after="0" w:line="240" w:lineRule="auto"/>
        <w:jc w:val="both"/>
        <w:rPr>
          <w:rFonts w:ascii="Times New Roman" w:hAnsi="Times New Roman" w:cs="Times New Roman"/>
          <w:sz w:val="24"/>
          <w:szCs w:val="24"/>
        </w:rPr>
      </w:pPr>
      <w:hyperlink r:id="rId7" w:history="1">
        <w:r w:rsidR="00686FB2" w:rsidRPr="008606A6">
          <w:rPr>
            <w:rStyle w:val="Hyperlink"/>
            <w:rFonts w:ascii="Times New Roman" w:hAnsi="Times New Roman" w:cs="Times New Roman"/>
            <w:sz w:val="24"/>
            <w:szCs w:val="24"/>
          </w:rPr>
          <w:t>Cadastro de Empresas no Sistema da Anvisa — Agência Nacional de Vigilância Sanitária - Anvisa</w:t>
        </w:r>
      </w:hyperlink>
    </w:p>
    <w:p w14:paraId="2B2A6FEE" w14:textId="77777777" w:rsidR="00686FB2" w:rsidRPr="00A56C52" w:rsidRDefault="00686FB2" w:rsidP="00686FB2">
      <w:pPr>
        <w:autoSpaceDE w:val="0"/>
        <w:autoSpaceDN w:val="0"/>
        <w:adjustRightInd w:val="0"/>
        <w:spacing w:after="0" w:line="240" w:lineRule="auto"/>
        <w:jc w:val="both"/>
        <w:rPr>
          <w:rFonts w:ascii="Times New Roman" w:hAnsi="Times New Roman" w:cs="Times New Roman"/>
          <w:color w:val="000000"/>
          <w:kern w:val="0"/>
          <w:sz w:val="24"/>
          <w:szCs w:val="24"/>
        </w:rPr>
      </w:pPr>
    </w:p>
    <w:p w14:paraId="1614D415" w14:textId="77777777" w:rsidR="00686FB2" w:rsidRPr="00A56C52" w:rsidRDefault="00686FB2" w:rsidP="00686FB2">
      <w:pPr>
        <w:autoSpaceDE w:val="0"/>
        <w:autoSpaceDN w:val="0"/>
        <w:adjustRightInd w:val="0"/>
        <w:spacing w:after="0" w:line="240" w:lineRule="auto"/>
        <w:jc w:val="both"/>
        <w:rPr>
          <w:rFonts w:ascii="Times New Roman" w:hAnsi="Times New Roman" w:cs="Times New Roman"/>
          <w:color w:val="000000"/>
          <w:kern w:val="0"/>
          <w:sz w:val="24"/>
          <w:szCs w:val="24"/>
        </w:rPr>
      </w:pPr>
      <w:r w:rsidRPr="00A56C52">
        <w:rPr>
          <w:rFonts w:ascii="Times New Roman" w:hAnsi="Times New Roman" w:cs="Times New Roman"/>
          <w:b/>
          <w:bCs/>
          <w:color w:val="000000"/>
          <w:kern w:val="0"/>
          <w:sz w:val="24"/>
          <w:szCs w:val="24"/>
        </w:rPr>
        <w:t xml:space="preserve">EMBALAGENS, </w:t>
      </w:r>
      <w:r w:rsidRPr="00A56C52">
        <w:rPr>
          <w:rFonts w:ascii="Times New Roman" w:hAnsi="Times New Roman" w:cs="Times New Roman"/>
          <w:color w:val="000000"/>
          <w:kern w:val="0"/>
          <w:sz w:val="24"/>
          <w:szCs w:val="24"/>
        </w:rPr>
        <w:t>consulte:</w:t>
      </w:r>
    </w:p>
    <w:p w14:paraId="3818DC35" w14:textId="77777777" w:rsidR="00686FB2" w:rsidRPr="009571C3" w:rsidRDefault="00000000" w:rsidP="00686FB2">
      <w:pPr>
        <w:spacing w:line="240" w:lineRule="auto"/>
        <w:jc w:val="both"/>
        <w:rPr>
          <w:rFonts w:ascii="Times New Roman" w:hAnsi="Times New Roman" w:cs="Times New Roman"/>
          <w:sz w:val="24"/>
          <w:szCs w:val="24"/>
        </w:rPr>
      </w:pPr>
      <w:hyperlink r:id="rId8" w:history="1">
        <w:r w:rsidR="00686FB2" w:rsidRPr="009571C3">
          <w:rPr>
            <w:rStyle w:val="Hyperlink"/>
            <w:rFonts w:ascii="Times New Roman" w:hAnsi="Times New Roman" w:cs="Times New Roman"/>
            <w:sz w:val="24"/>
            <w:szCs w:val="24"/>
          </w:rPr>
          <w:t>Embalagens — Agência Nacional de Vigilância Sanitária - Anvisa</w:t>
        </w:r>
      </w:hyperlink>
    </w:p>
    <w:p w14:paraId="2CC4A809" w14:textId="77777777" w:rsidR="00686FB2" w:rsidRDefault="00686FB2" w:rsidP="00686FB2">
      <w:pPr>
        <w:spacing w:line="240" w:lineRule="auto"/>
        <w:jc w:val="both"/>
      </w:pPr>
    </w:p>
    <w:p w14:paraId="0F6F1F63" w14:textId="77777777" w:rsidR="00686FB2" w:rsidRPr="00C85111" w:rsidRDefault="00686FB2" w:rsidP="00686FB2">
      <w:pPr>
        <w:spacing w:line="240" w:lineRule="auto"/>
        <w:jc w:val="both"/>
        <w:rPr>
          <w:rFonts w:ascii="Times New Roman" w:hAnsi="Times New Roman" w:cs="Times New Roman"/>
          <w:b/>
          <w:bCs/>
          <w:sz w:val="24"/>
          <w:szCs w:val="24"/>
        </w:rPr>
      </w:pPr>
      <w:r w:rsidRPr="00C85111">
        <w:rPr>
          <w:rFonts w:ascii="Times New Roman" w:hAnsi="Times New Roman" w:cs="Times New Roman"/>
          <w:b/>
          <w:bCs/>
          <w:sz w:val="24"/>
          <w:szCs w:val="24"/>
        </w:rPr>
        <w:t xml:space="preserve">Após consulta ao site da ANVISA, verificando-se que o alimento precisa de registro na Agência e/ou há normas referentes às embalagens e rótulos, inserir no item de sustentabilidade: </w:t>
      </w:r>
    </w:p>
    <w:p w14:paraId="3513E2B2" w14:textId="77777777" w:rsidR="00686FB2" w:rsidRPr="00A56C52" w:rsidRDefault="00686FB2" w:rsidP="00686FB2">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a) Registro na ANVISA nos termos da RDC 27/2010 </w:t>
      </w:r>
    </w:p>
    <w:p w14:paraId="56EC9650" w14:textId="77777777" w:rsidR="00686FB2" w:rsidRPr="00A56C52" w:rsidRDefault="00686FB2" w:rsidP="00686FB2">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b) Para os produtos embalados e rótulos devem ser observadas as regras constantes de ..... (inserir normas correspondentes da Anvisa, se aplicáveis ao caso concreto). </w:t>
      </w:r>
    </w:p>
    <w:p w14:paraId="4D4F581F" w14:textId="77777777" w:rsidR="00686FB2" w:rsidRPr="00C85111" w:rsidRDefault="00686FB2" w:rsidP="00686FB2">
      <w:pPr>
        <w:spacing w:line="240" w:lineRule="auto"/>
        <w:jc w:val="both"/>
        <w:rPr>
          <w:rFonts w:ascii="Times New Roman" w:hAnsi="Times New Roman" w:cs="Times New Roman"/>
          <w:b/>
          <w:bCs/>
          <w:sz w:val="24"/>
          <w:szCs w:val="24"/>
        </w:rPr>
      </w:pPr>
      <w:r w:rsidRPr="00C85111">
        <w:rPr>
          <w:rFonts w:ascii="Times New Roman" w:hAnsi="Times New Roman" w:cs="Times New Roman"/>
          <w:b/>
          <w:bCs/>
          <w:sz w:val="24"/>
          <w:szCs w:val="24"/>
        </w:rPr>
        <w:t xml:space="preserve">Para os produtos de origem animal, inserir no item de Sustentabilidade: </w:t>
      </w:r>
    </w:p>
    <w:p w14:paraId="77F48E07" w14:textId="77777777" w:rsidR="00686FB2" w:rsidRDefault="00686FB2" w:rsidP="00686FB2">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a) o estabelecimento deve estar registrado no Serviço de Inspeção Federal (SIF), Serviço de Inspeção Estadual (SIE), Sistema de Inspeção Municipal (SIM) ou registrado pelos serviços de inspeção que aderiram ao Sistema Unificado de Atenção à Sanidade Agropecuária por meio do Sistema Brasileiro de Inspeção de Produtos de Origem Animal (SISBI/POA) </w:t>
      </w:r>
    </w:p>
    <w:p w14:paraId="7BF98A8A" w14:textId="77777777" w:rsidR="00686FB2" w:rsidRPr="00A56C52" w:rsidRDefault="00686FB2" w:rsidP="00686FB2">
      <w:pPr>
        <w:spacing w:line="240" w:lineRule="auto"/>
        <w:jc w:val="both"/>
        <w:rPr>
          <w:rFonts w:ascii="Times New Roman" w:hAnsi="Times New Roman" w:cs="Times New Roman"/>
          <w:sz w:val="24"/>
          <w:szCs w:val="24"/>
        </w:rPr>
      </w:pPr>
    </w:p>
    <w:p w14:paraId="2F44D4D5" w14:textId="77777777" w:rsidR="00686FB2" w:rsidRPr="0084368B" w:rsidRDefault="00686FB2" w:rsidP="00686FB2">
      <w:pPr>
        <w:spacing w:line="240" w:lineRule="auto"/>
        <w:jc w:val="both"/>
        <w:rPr>
          <w:rFonts w:ascii="Times New Roman" w:hAnsi="Times New Roman" w:cs="Times New Roman"/>
          <w:color w:val="2F5496" w:themeColor="accent1" w:themeShade="BF"/>
          <w:sz w:val="24"/>
          <w:szCs w:val="24"/>
        </w:rPr>
      </w:pPr>
      <w:r w:rsidRPr="0084368B">
        <w:rPr>
          <w:rFonts w:ascii="Times New Roman" w:hAnsi="Times New Roman" w:cs="Times New Roman"/>
          <w:i/>
          <w:iCs/>
          <w:color w:val="2F5496" w:themeColor="accent1" w:themeShade="BF"/>
          <w:sz w:val="24"/>
          <w:szCs w:val="24"/>
        </w:rPr>
        <w:t>Possíveis impactos ambientais:</w:t>
      </w:r>
    </w:p>
    <w:p w14:paraId="7EA5BD3A" w14:textId="77777777" w:rsidR="00686FB2" w:rsidRPr="00A56C52" w:rsidRDefault="00686FB2" w:rsidP="00686FB2">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A aquisição de gêneros alimentícios pode gerar impacto ambiental no que diz respeito à segurança e qualidade dos alimentos adquiridos. No setor de alimentos, a Anvisa coordena, supervisiona e controla as atividades de registro, inspeção, fiscalização e controle de riscos, sendo responsável por estabelecer normas e padrões de qualidade e identidade a serem observados. </w:t>
      </w:r>
    </w:p>
    <w:p w14:paraId="37594FB5" w14:textId="77777777" w:rsidR="00686FB2" w:rsidRPr="00A56C52" w:rsidRDefault="00686FB2" w:rsidP="00686FB2">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lastRenderedPageBreak/>
        <w:t>Como medida mitigadora aos possíveis impactos ambientais, a contratada deverá cumprir os requisitos de sustentabilidade estabelecidos neste Estudo Técnico.</w:t>
      </w:r>
    </w:p>
    <w:p w14:paraId="7853B37C" w14:textId="77777777" w:rsidR="00686FB2" w:rsidRDefault="00686FB2"/>
    <w:sectPr w:rsidR="00686FB2">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ADC5108"/>
    <w:multiLevelType w:val="hybridMultilevel"/>
    <w:tmpl w:val="5F8035BE"/>
    <w:lvl w:ilvl="0" w:tplc="C9D22866">
      <w:numFmt w:val="bullet"/>
      <w:lvlText w:val=""/>
      <w:lvlJc w:val="left"/>
      <w:pPr>
        <w:ind w:left="720" w:hanging="360"/>
      </w:pPr>
      <w:rPr>
        <w:rFonts w:ascii="Symbol" w:eastAsiaTheme="minorHAnsi" w:hAnsi="Symbol" w:cs="Times New Roman" w:hint="default"/>
        <w:color w:val="auto"/>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16cid:durableId="16063086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val="bestFit" w:percent="225"/>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6FB2"/>
    <w:rsid w:val="000B3133"/>
    <w:rsid w:val="000E386B"/>
    <w:rsid w:val="001706C2"/>
    <w:rsid w:val="00295FF0"/>
    <w:rsid w:val="00686FB2"/>
    <w:rsid w:val="008357BF"/>
    <w:rsid w:val="009E54C6"/>
    <w:rsid w:val="00A54EB9"/>
    <w:rsid w:val="00D85C87"/>
    <w:rsid w:val="00E147D6"/>
    <w:rsid w:val="00E7179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339330"/>
  <w15:chartTrackingRefBased/>
  <w15:docId w15:val="{80E0779F-2997-48A2-A5C7-1B51A583F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686FB2"/>
    <w:pPr>
      <w:ind w:left="720"/>
      <w:contextualSpacing/>
    </w:pPr>
  </w:style>
  <w:style w:type="character" w:styleId="Hyperlink">
    <w:name w:val="Hyperlink"/>
    <w:basedOn w:val="Fontepargpadro"/>
    <w:uiPriority w:val="99"/>
    <w:unhideWhenUsed/>
    <w:rsid w:val="00686FB2"/>
    <w:rPr>
      <w:color w:val="0563C1" w:themeColor="hyperlink"/>
      <w:u w:val="single"/>
    </w:rPr>
  </w:style>
  <w:style w:type="character" w:styleId="MenoPendente">
    <w:name w:val="Unresolved Mention"/>
    <w:basedOn w:val="Fontepargpadro"/>
    <w:uiPriority w:val="99"/>
    <w:semiHidden/>
    <w:unhideWhenUsed/>
    <w:rsid w:val="000B3133"/>
    <w:rPr>
      <w:color w:val="605E5C"/>
      <w:shd w:val="clear" w:color="auto" w:fill="E1DFDD"/>
    </w:rPr>
  </w:style>
  <w:style w:type="character" w:styleId="HiperlinkVisitado">
    <w:name w:val="FollowedHyperlink"/>
    <w:basedOn w:val="Fontepargpadro"/>
    <w:uiPriority w:val="99"/>
    <w:semiHidden/>
    <w:unhideWhenUsed/>
    <w:rsid w:val="000B313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br/anvisa/pt-br/setorregulado/regularizacao/alimentos/embalagens" TargetMode="External"/><Relationship Id="rId3" Type="http://schemas.openxmlformats.org/officeDocument/2006/relationships/settings" Target="settings.xml"/><Relationship Id="rId7" Type="http://schemas.openxmlformats.org/officeDocument/2006/relationships/hyperlink" Target="https://www.gov.br/anvisa/pt-br/setorregulado/regularizacao/alimentos/registro-unic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ov.br/anvisa/pt-br/setorregulado/regularizacao/alimentos" TargetMode="External"/><Relationship Id="rId5" Type="http://schemas.openxmlformats.org/officeDocument/2006/relationships/hyperlink" Target="https://www.gov.br/pncp/pt-br/catalogo-eletronico-de-padronizacao"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Pages>
  <Words>471</Words>
  <Characters>2544</Characters>
  <Application>Microsoft Office Word</Application>
  <DocSecurity>0</DocSecurity>
  <Lines>21</Lines>
  <Paragraphs>6</Paragraphs>
  <ScaleCrop>false</ScaleCrop>
  <Company/>
  <LinksUpToDate>false</LinksUpToDate>
  <CharactersWithSpaces>3009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Marcia Prass</dc:creator>
  <cp:keywords/>
  <dc:description/>
  <cp:lastModifiedBy>Marcia Prass</cp:lastModifiedBy>
  <cp:revision>7</cp:revision>
  <dcterms:created xsi:type="dcterms:W3CDTF">2025-08-07T13:37:00Z</dcterms:created>
  <dcterms:modified xsi:type="dcterms:W3CDTF">2025-08-16T18:47:00Z</dcterms:modified>
</cp:coreProperties>
</file>