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FC2421" w14:textId="77777777" w:rsidR="001706C2" w:rsidRDefault="009B57CD">
      <w:r>
        <w:t>GÁS E ENGARRAFADOS</w:t>
      </w:r>
    </w:p>
    <w:p w14:paraId="3302D4F7" w14:textId="77777777" w:rsidR="009B57CD" w:rsidRPr="002A33CA" w:rsidRDefault="009B57CD" w:rsidP="009B57CD">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w:t>
      </w:r>
      <w:r>
        <w:rPr>
          <w:rFonts w:ascii="Times New Roman" w:hAnsi="Times New Roman" w:cs="Times New Roman"/>
          <w:i/>
          <w:iCs/>
          <w:color w:val="2F5496" w:themeColor="accent1" w:themeShade="BF"/>
          <w:sz w:val="24"/>
          <w:szCs w:val="24"/>
        </w:rPr>
        <w:t>ão</w:t>
      </w:r>
      <w:r w:rsidRPr="002A33CA">
        <w:rPr>
          <w:rFonts w:ascii="Times New Roman" w:hAnsi="Times New Roman" w:cs="Times New Roman"/>
          <w:i/>
          <w:iCs/>
          <w:color w:val="2F5496" w:themeColor="accent1" w:themeShade="BF"/>
          <w:sz w:val="24"/>
          <w:szCs w:val="24"/>
        </w:rPr>
        <w:t>:</w:t>
      </w:r>
    </w:p>
    <w:p w14:paraId="0EB0CC71" w14:textId="77777777" w:rsidR="009B57CD" w:rsidRDefault="009B57CD" w:rsidP="009B57CD">
      <w:pPr>
        <w:pStyle w:val="PargrafodaLista"/>
        <w:spacing w:line="240" w:lineRule="auto"/>
        <w:jc w:val="both"/>
        <w:rPr>
          <w:rFonts w:ascii="Times New Roman" w:hAnsi="Times New Roman" w:cs="Times New Roman"/>
          <w:sz w:val="24"/>
          <w:szCs w:val="24"/>
        </w:rPr>
      </w:pPr>
    </w:p>
    <w:p w14:paraId="2F9FD42F" w14:textId="77777777" w:rsidR="009B57CD" w:rsidRDefault="009B57CD" w:rsidP="009B57CD">
      <w:pPr>
        <w:pStyle w:val="PargrafodaLista"/>
        <w:numPr>
          <w:ilvl w:val="0"/>
          <w:numId w:val="1"/>
        </w:numPr>
        <w:spacing w:line="240" w:lineRule="auto"/>
        <w:jc w:val="both"/>
        <w:rPr>
          <w:rFonts w:ascii="Times New Roman" w:hAnsi="Times New Roman" w:cs="Times New Roman"/>
          <w:sz w:val="24"/>
          <w:szCs w:val="24"/>
        </w:rPr>
      </w:pPr>
      <w:r w:rsidRPr="00DF69E5">
        <w:rPr>
          <w:rFonts w:ascii="Times New Roman" w:hAnsi="Times New Roman" w:cs="Times New Roman"/>
          <w:sz w:val="24"/>
          <w:szCs w:val="24"/>
        </w:rPr>
        <w:t xml:space="preserve">Aquisição de </w:t>
      </w:r>
      <w:r>
        <w:rPr>
          <w:rFonts w:ascii="Times New Roman" w:hAnsi="Times New Roman" w:cs="Times New Roman"/>
          <w:sz w:val="24"/>
          <w:szCs w:val="24"/>
        </w:rPr>
        <w:t>Gás e outros engarrafados</w:t>
      </w:r>
    </w:p>
    <w:p w14:paraId="219BCD58" w14:textId="77777777" w:rsidR="009B57CD" w:rsidRPr="00DF69E5" w:rsidRDefault="009B57CD" w:rsidP="009B57CD">
      <w:pPr>
        <w:pStyle w:val="PargrafodaLista"/>
        <w:spacing w:line="240" w:lineRule="auto"/>
        <w:jc w:val="both"/>
        <w:rPr>
          <w:rFonts w:ascii="Times New Roman" w:hAnsi="Times New Roman" w:cs="Times New Roman"/>
          <w:sz w:val="24"/>
          <w:szCs w:val="24"/>
        </w:rPr>
      </w:pPr>
    </w:p>
    <w:p w14:paraId="71215A45" w14:textId="77777777" w:rsidR="009B57CD" w:rsidRDefault="009B57CD" w:rsidP="009B57CD">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DF69E5">
        <w:rPr>
          <w:rFonts w:ascii="Times New Roman" w:hAnsi="Times New Roman" w:cs="Times New Roman"/>
          <w:i/>
          <w:iCs/>
          <w:color w:val="2F5496" w:themeColor="accent1" w:themeShade="BF"/>
          <w:sz w:val="24"/>
          <w:szCs w:val="24"/>
        </w:rPr>
        <w:t>Requisitos de sustentabilidade:</w:t>
      </w:r>
    </w:p>
    <w:p w14:paraId="2790F6D7" w14:textId="77777777" w:rsidR="009B57CD" w:rsidRDefault="009B57CD" w:rsidP="009B57CD">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p>
    <w:p w14:paraId="0E10A9F6" w14:textId="25B4FCEE" w:rsidR="009B57CD" w:rsidRPr="00D111C6" w:rsidRDefault="009B57CD" w:rsidP="009B57CD">
      <w:pPr>
        <w:pStyle w:val="Default"/>
        <w:jc w:val="both"/>
        <w:rPr>
          <w:rFonts w:ascii="Times New Roman" w:eastAsiaTheme="minorHAnsi" w:hAnsi="Times New Roman" w:cs="Times New Roman"/>
          <w:color w:val="auto"/>
          <w:kern w:val="2"/>
        </w:rPr>
      </w:pPr>
      <w:r w:rsidRPr="00787711">
        <w:rPr>
          <w:rFonts w:ascii="Times New Roman" w:hAnsi="Times New Roman" w:cs="Times New Roman"/>
        </w:rPr>
        <w:t>1)</w:t>
      </w:r>
      <w:r>
        <w:rPr>
          <w:rFonts w:ascii="Times New Roman" w:hAnsi="Times New Roman" w:cs="Times New Roman"/>
        </w:rPr>
        <w:t xml:space="preserve"> </w:t>
      </w:r>
      <w:r w:rsidRPr="00955D4A">
        <w:rPr>
          <w:rFonts w:ascii="Times New Roman" w:hAnsi="Times New Roman" w:cs="Times New Roman"/>
        </w:rPr>
        <w:t xml:space="preserve">Para o item </w:t>
      </w:r>
      <w:r w:rsidRPr="00955D4A">
        <w:rPr>
          <w:rFonts w:ascii="Times New Roman" w:hAnsi="Times New Roman" w:cs="Times New Roman"/>
          <w:b/>
          <w:bCs/>
        </w:rPr>
        <w:t>Gás Liquefeito de Petróleo – GLP</w:t>
      </w:r>
      <w:r w:rsidRPr="00955D4A">
        <w:rPr>
          <w:rFonts w:ascii="Times New Roman" w:hAnsi="Times New Roman" w:cs="Times New Roman"/>
        </w:rPr>
        <w:t>:</w:t>
      </w:r>
      <w:r w:rsidRPr="00C330C8">
        <w:rPr>
          <w:rFonts w:ascii="Times New Roman" w:hAnsi="Times New Roman" w:cs="Times New Roman"/>
          <w:i/>
          <w:iCs/>
        </w:rPr>
        <w:t xml:space="preserve"> </w:t>
      </w:r>
      <w:r w:rsidRPr="002319EB">
        <w:rPr>
          <w:rFonts w:ascii="Times New Roman" w:eastAsiaTheme="minorHAnsi" w:hAnsi="Times New Roman" w:cs="Times New Roman"/>
          <w:color w:val="auto"/>
          <w:kern w:val="2"/>
        </w:rPr>
        <w:t>As pessoas físicas e jurídicas que desenvolvem as atividades listadas no Anexo I da Instrução Normativa IBAMA n° 13/2021 são obrigadas ao registro no Cadastro Técnico Federal de Atividades Potencialmente Poluidoras ou Utilizadoras de Recursos Ambientais, instituído pelo art. 17, inciso II, da Lei n° 6.938, de 1981</w:t>
      </w:r>
      <w:r w:rsidR="000F36FF">
        <w:rPr>
          <w:rFonts w:ascii="Times New Roman" w:eastAsiaTheme="minorHAnsi" w:hAnsi="Times New Roman" w:cs="Times New Roman"/>
          <w:color w:val="auto"/>
          <w:kern w:val="2"/>
        </w:rPr>
        <w:t xml:space="preserve"> (o</w:t>
      </w:r>
      <w:r>
        <w:rPr>
          <w:rFonts w:ascii="Times New Roman" w:eastAsiaTheme="minorHAnsi" w:hAnsi="Times New Roman" w:cs="Times New Roman"/>
          <w:color w:val="auto"/>
          <w:kern w:val="2"/>
        </w:rPr>
        <w:t xml:space="preserve"> comércio de gás GLP está previsto na </w:t>
      </w:r>
      <w:hyperlink r:id="rId5" w:history="1">
        <w:r w:rsidR="00DB2BE2" w:rsidRPr="00861777">
          <w:rPr>
            <w:rStyle w:val="Hyperlink"/>
            <w:rFonts w:ascii="Times New Roman" w:eastAsiaTheme="minorHAnsi" w:hAnsi="Times New Roman" w:cs="Times New Roman"/>
            <w:kern w:val="2"/>
          </w:rPr>
          <w:t>Cate</w:t>
        </w:r>
        <w:r w:rsidR="00DB2BE2" w:rsidRPr="00861777">
          <w:rPr>
            <w:rStyle w:val="Hyperlink"/>
            <w:rFonts w:ascii="Times New Roman" w:eastAsiaTheme="minorHAnsi" w:hAnsi="Times New Roman" w:cs="Times New Roman"/>
            <w:kern w:val="2"/>
          </w:rPr>
          <w:t>g</w:t>
        </w:r>
        <w:r w:rsidR="00DB2BE2" w:rsidRPr="00861777">
          <w:rPr>
            <w:rStyle w:val="Hyperlink"/>
            <w:rFonts w:ascii="Times New Roman" w:eastAsiaTheme="minorHAnsi" w:hAnsi="Times New Roman" w:cs="Times New Roman"/>
            <w:kern w:val="2"/>
          </w:rPr>
          <w:t xml:space="preserve">oria 18 - </w:t>
        </w:r>
        <w:r w:rsidR="00DB2BE2" w:rsidRPr="00861777">
          <w:rPr>
            <w:rStyle w:val="Hyperlink"/>
            <w:rFonts w:ascii="Times New Roman" w:eastAsiaTheme="minorHAnsi" w:hAnsi="Times New Roman" w:cs="Times New Roman"/>
          </w:rPr>
          <w:t>Transporte, Terminais, Depósitos e Comércio</w:t>
        </w:r>
      </w:hyperlink>
      <w:r w:rsidR="000F36FF" w:rsidRPr="001D42C8">
        <w:rPr>
          <w:rFonts w:ascii="Times New Roman" w:eastAsiaTheme="minorHAnsi" w:hAnsi="Times New Roman" w:cs="Times New Roman"/>
          <w:color w:val="auto"/>
        </w:rPr>
        <w:t>)</w:t>
      </w:r>
    </w:p>
    <w:p w14:paraId="3054FE76" w14:textId="77777777" w:rsidR="009B57CD" w:rsidRDefault="009B57CD" w:rsidP="009B57CD">
      <w:pPr>
        <w:pStyle w:val="Default"/>
        <w:jc w:val="both"/>
        <w:rPr>
          <w:rFonts w:ascii="Times New Roman" w:eastAsiaTheme="minorHAnsi" w:hAnsi="Times New Roman" w:cs="Times New Roman"/>
          <w:color w:val="auto"/>
          <w:kern w:val="2"/>
        </w:rPr>
      </w:pPr>
    </w:p>
    <w:p w14:paraId="1A68F950" w14:textId="20C78D51" w:rsidR="003252CD" w:rsidRDefault="00D125E7" w:rsidP="009B57CD">
      <w:pPr>
        <w:pStyle w:val="Default"/>
        <w:jc w:val="both"/>
        <w:rPr>
          <w:rFonts w:ascii="Times New Roman" w:hAnsi="Times New Roman" w:cs="Times New Roman"/>
          <w:color w:val="auto"/>
          <w:kern w:val="2"/>
        </w:rPr>
      </w:pPr>
      <w:r>
        <w:rPr>
          <w:rFonts w:ascii="Times New Roman" w:hAnsi="Times New Roman" w:cs="Times New Roman"/>
          <w:color w:val="auto"/>
          <w:kern w:val="2"/>
        </w:rPr>
        <w:t>2)</w:t>
      </w:r>
      <w:r w:rsidR="003252CD">
        <w:rPr>
          <w:rFonts w:ascii="Times New Roman" w:hAnsi="Times New Roman" w:cs="Times New Roman"/>
          <w:color w:val="auto"/>
          <w:kern w:val="2"/>
        </w:rPr>
        <w:t xml:space="preserve"> </w:t>
      </w:r>
      <w:r w:rsidR="003252CD" w:rsidRPr="00955D4A">
        <w:rPr>
          <w:rFonts w:ascii="Times New Roman" w:hAnsi="Times New Roman" w:cs="Times New Roman"/>
        </w:rPr>
        <w:t xml:space="preserve">Para o item </w:t>
      </w:r>
      <w:r w:rsidR="003252CD" w:rsidRPr="00955D4A">
        <w:rPr>
          <w:rFonts w:ascii="Times New Roman" w:hAnsi="Times New Roman" w:cs="Times New Roman"/>
          <w:b/>
          <w:bCs/>
        </w:rPr>
        <w:t>Gás Liquefeito de Petróleo – GLP</w:t>
      </w:r>
      <w:r w:rsidR="003252CD">
        <w:rPr>
          <w:rFonts w:ascii="Times New Roman" w:hAnsi="Times New Roman" w:cs="Times New Roman"/>
          <w:color w:val="auto"/>
          <w:kern w:val="2"/>
        </w:rPr>
        <w:t xml:space="preserve">: </w:t>
      </w:r>
      <w:r w:rsidR="003252CD">
        <w:rPr>
          <w:rFonts w:ascii="Times New Roman" w:hAnsi="Times New Roman" w:cs="Times New Roman"/>
        </w:rPr>
        <w:t xml:space="preserve">Os revendedores de GLP são </w:t>
      </w:r>
      <w:r w:rsidR="003252CD" w:rsidRPr="00191A27">
        <w:rPr>
          <w:rFonts w:ascii="Times New Roman" w:hAnsi="Times New Roman" w:cs="Times New Roman"/>
        </w:rPr>
        <w:t>responsáveis pela aquisição, armazenamento, transporte e comercialização do produto em recipientes transportáveis de capacidade de até 90 quilogramas.</w:t>
      </w:r>
      <w:r w:rsidR="003252CD">
        <w:rPr>
          <w:rFonts w:ascii="Times New Roman" w:hAnsi="Times New Roman" w:cs="Times New Roman"/>
        </w:rPr>
        <w:t xml:space="preserve"> </w:t>
      </w:r>
      <w:r w:rsidR="003252CD" w:rsidRPr="00C53D6A">
        <w:rPr>
          <w:rFonts w:ascii="Times New Roman" w:hAnsi="Times New Roman" w:cs="Times New Roman"/>
        </w:rPr>
        <w:t xml:space="preserve">Para uma empresa revender GLP, deve atender a uma série de requisitos junto à </w:t>
      </w:r>
      <w:r w:rsidR="003252CD" w:rsidRPr="00A03EBD">
        <w:rPr>
          <w:rFonts w:ascii="Times New Roman" w:hAnsi="Times New Roman" w:cs="Times New Roman"/>
        </w:rPr>
        <w:t>Agência Nacional do Petróleo, Gás Natural e Biocombustíveis</w:t>
      </w:r>
      <w:r w:rsidR="003252CD">
        <w:rPr>
          <w:rFonts w:ascii="Times New Roman" w:hAnsi="Times New Roman" w:cs="Times New Roman"/>
        </w:rPr>
        <w:t xml:space="preserve"> - </w:t>
      </w:r>
      <w:r w:rsidR="003252CD" w:rsidRPr="00C53D6A">
        <w:rPr>
          <w:rFonts w:ascii="Times New Roman" w:hAnsi="Times New Roman" w:cs="Times New Roman"/>
        </w:rPr>
        <w:t>ANP.</w:t>
      </w:r>
      <w:r w:rsidR="003252CD">
        <w:rPr>
          <w:rFonts w:ascii="Times New Roman" w:hAnsi="Times New Roman" w:cs="Times New Roman"/>
        </w:rPr>
        <w:t xml:space="preserve"> </w:t>
      </w:r>
      <w:r w:rsidR="003252CD" w:rsidRPr="00D40CCF">
        <w:rPr>
          <w:rFonts w:ascii="Times New Roman" w:hAnsi="Times New Roman" w:cs="Times New Roman"/>
        </w:rPr>
        <w:t>A atividade de revenda de GLP é regulada pela </w:t>
      </w:r>
      <w:hyperlink r:id="rId6" w:tgtFrame="_blank" w:history="1">
        <w:r w:rsidR="003252CD" w:rsidRPr="00D40CCF">
          <w:rPr>
            <w:rStyle w:val="Hyperlink"/>
            <w:rFonts w:ascii="Times New Roman" w:hAnsi="Times New Roman" w:cs="Times New Roman"/>
          </w:rPr>
          <w:t>Resolução ANP nº 958/2023</w:t>
        </w:r>
      </w:hyperlink>
      <w:r w:rsidR="003252CD" w:rsidRPr="00D41FB2">
        <w:rPr>
          <w:rFonts w:ascii="Times New Roman" w:hAnsi="Times New Roman" w:cs="Times New Roman"/>
        </w:rPr>
        <w:t>.</w:t>
      </w:r>
      <w:r>
        <w:rPr>
          <w:rFonts w:ascii="Times New Roman" w:hAnsi="Times New Roman" w:cs="Times New Roman"/>
          <w:color w:val="auto"/>
          <w:kern w:val="2"/>
        </w:rPr>
        <w:t xml:space="preserve"> </w:t>
      </w:r>
    </w:p>
    <w:p w14:paraId="6B9E0D65" w14:textId="77777777" w:rsidR="003252CD" w:rsidRDefault="003252CD" w:rsidP="009B57CD">
      <w:pPr>
        <w:pStyle w:val="Default"/>
        <w:jc w:val="both"/>
        <w:rPr>
          <w:rFonts w:ascii="Times New Roman" w:hAnsi="Times New Roman" w:cs="Times New Roman"/>
          <w:color w:val="auto"/>
          <w:kern w:val="2"/>
        </w:rPr>
      </w:pPr>
    </w:p>
    <w:p w14:paraId="47B2C245" w14:textId="3D9ACD18" w:rsidR="009B57CD" w:rsidRDefault="003252CD" w:rsidP="009B57CD">
      <w:pPr>
        <w:pStyle w:val="Default"/>
        <w:jc w:val="both"/>
        <w:rPr>
          <w:rFonts w:ascii="Times New Roman" w:hAnsi="Times New Roman" w:cs="Times New Roman"/>
          <w:color w:val="auto"/>
          <w:kern w:val="2"/>
        </w:rPr>
      </w:pPr>
      <w:r>
        <w:rPr>
          <w:rFonts w:ascii="Times New Roman" w:hAnsi="Times New Roman" w:cs="Times New Roman"/>
        </w:rPr>
        <w:t xml:space="preserve">3) </w:t>
      </w:r>
      <w:r w:rsidR="00B96F26" w:rsidRPr="00955D4A">
        <w:rPr>
          <w:rFonts w:ascii="Times New Roman" w:hAnsi="Times New Roman" w:cs="Times New Roman"/>
        </w:rPr>
        <w:t xml:space="preserve">Para o item </w:t>
      </w:r>
      <w:r w:rsidR="00B96F26" w:rsidRPr="00955D4A">
        <w:rPr>
          <w:rFonts w:ascii="Times New Roman" w:hAnsi="Times New Roman" w:cs="Times New Roman"/>
          <w:b/>
          <w:bCs/>
        </w:rPr>
        <w:t>Gás Liquefeito de Petróleo – GLP</w:t>
      </w:r>
      <w:r w:rsidR="00B96F26" w:rsidRPr="00327E6D">
        <w:rPr>
          <w:rFonts w:ascii="Times New Roman" w:hAnsi="Times New Roman" w:cs="Times New Roman"/>
          <w:color w:val="auto"/>
          <w:kern w:val="2"/>
        </w:rPr>
        <w:t xml:space="preserve"> </w:t>
      </w:r>
      <w:r w:rsidR="00B96F26">
        <w:rPr>
          <w:rFonts w:ascii="Times New Roman" w:hAnsi="Times New Roman" w:cs="Times New Roman"/>
          <w:color w:val="auto"/>
          <w:kern w:val="2"/>
        </w:rPr>
        <w:t xml:space="preserve">: </w:t>
      </w:r>
      <w:r w:rsidR="009B57CD" w:rsidRPr="00327E6D">
        <w:rPr>
          <w:rFonts w:ascii="Times New Roman" w:hAnsi="Times New Roman" w:cs="Times New Roman"/>
          <w:color w:val="auto"/>
          <w:kern w:val="2"/>
        </w:rPr>
        <w:t>A IN nº 1, de 25/01/2013 do IBAMA esclarece quem pode ser considerado gerador ou operador de resíduos perigosos: No Anexo I da IN estão listadas as atividades consideradas geradoras de resíduos perigosos, destacando-se que a maior parte destas atividades se compõe da fabricação e produção, havendo alguns casos em que o comerciante é considerado gerador: Comércio de combustíveis, derivados de petróleo,</w:t>
      </w:r>
      <w:r w:rsidR="009B57CD" w:rsidRPr="00327E6D">
        <w:rPr>
          <w:rFonts w:ascii="Times New Roman" w:hAnsi="Times New Roman" w:cs="Times New Roman"/>
          <w:b/>
          <w:bCs/>
          <w:color w:val="auto"/>
          <w:kern w:val="2"/>
        </w:rPr>
        <w:t xml:space="preserve"> de gás GLP,</w:t>
      </w:r>
      <w:r w:rsidR="009B57CD" w:rsidRPr="00327E6D">
        <w:rPr>
          <w:rFonts w:ascii="Times New Roman" w:hAnsi="Times New Roman" w:cs="Times New Roman"/>
          <w:color w:val="auto"/>
          <w:kern w:val="2"/>
        </w:rPr>
        <w:t xml:space="preserve"> de óleos lubrificantes, de mercúrio metálico, de produtos químicos e produtos perigosos.</w:t>
      </w:r>
    </w:p>
    <w:p w14:paraId="0003D626" w14:textId="77777777" w:rsidR="000E5EFF" w:rsidRDefault="000E5EFF" w:rsidP="009B57CD">
      <w:pPr>
        <w:pStyle w:val="Default"/>
        <w:jc w:val="both"/>
        <w:rPr>
          <w:rFonts w:ascii="Times New Roman" w:hAnsi="Times New Roman" w:cs="Times New Roman"/>
          <w:color w:val="auto"/>
          <w:kern w:val="2"/>
        </w:rPr>
      </w:pPr>
    </w:p>
    <w:p w14:paraId="1E3D5A96" w14:textId="40D08394" w:rsidR="000E5EFF" w:rsidRPr="00B02E47" w:rsidRDefault="000E5EFF" w:rsidP="000E5EFF">
      <w:pPr>
        <w:pStyle w:val="Default"/>
        <w:jc w:val="both"/>
        <w:rPr>
          <w:rFonts w:ascii="Times New Roman" w:eastAsiaTheme="minorHAnsi" w:hAnsi="Times New Roman" w:cs="Times New Roman"/>
          <w:color w:val="auto"/>
          <w:kern w:val="2"/>
        </w:rPr>
      </w:pPr>
      <w:r>
        <w:rPr>
          <w:rFonts w:ascii="Times New Roman" w:hAnsi="Times New Roman" w:cs="Times New Roman"/>
          <w:color w:val="auto"/>
          <w:kern w:val="2"/>
        </w:rPr>
        <w:t xml:space="preserve">4) </w:t>
      </w:r>
      <w:r>
        <w:rPr>
          <w:rFonts w:ascii="Times New Roman" w:hAnsi="Times New Roman" w:cs="Times New Roman"/>
        </w:rPr>
        <w:t xml:space="preserve">Para </w:t>
      </w:r>
      <w:r w:rsidRPr="00492E6F">
        <w:rPr>
          <w:rFonts w:ascii="Times New Roman" w:hAnsi="Times New Roman" w:cs="Times New Roman"/>
          <w:b/>
          <w:bCs/>
        </w:rPr>
        <w:t>outros gases</w:t>
      </w:r>
      <w:r>
        <w:rPr>
          <w:rFonts w:ascii="Times New Roman" w:hAnsi="Times New Roman" w:cs="Times New Roman"/>
        </w:rPr>
        <w:t xml:space="preserve">: </w:t>
      </w:r>
      <w:r w:rsidRPr="00B02E47">
        <w:rPr>
          <w:rFonts w:ascii="Times New Roman" w:eastAsiaTheme="minorHAnsi" w:hAnsi="Times New Roman" w:cs="Times New Roman"/>
          <w:color w:val="auto"/>
          <w:kern w:val="2"/>
        </w:rPr>
        <w:t xml:space="preserve">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32C8E5F7" w14:textId="1A817773" w:rsidR="000E5EFF" w:rsidRDefault="000E5EFF" w:rsidP="000E5EFF">
      <w:pPr>
        <w:pStyle w:val="Default"/>
        <w:jc w:val="both"/>
        <w:rPr>
          <w:rFonts w:ascii="Times New Roman" w:hAnsi="Times New Roman" w:cs="Times New Roman"/>
        </w:rPr>
      </w:pPr>
      <w:r w:rsidRPr="00B02E47">
        <w:rPr>
          <w:rFonts w:ascii="Times New Roman" w:hAnsi="Times New Roman" w:cs="Times New Roman"/>
        </w:rPr>
        <w:t xml:space="preserve">a) </w:t>
      </w:r>
      <w:r w:rsidRPr="00796C88">
        <w:rPr>
          <w:rFonts w:ascii="Times New Roman" w:hAnsi="Times New Roman" w:cs="Times New Roman"/>
        </w:rPr>
        <w:t xml:space="preserve">especificar os itens: listar os itens do termo de referência. </w:t>
      </w:r>
      <w:r w:rsidR="00E105D0">
        <w:rPr>
          <w:rFonts w:ascii="Times New Roman" w:hAnsi="Times New Roman" w:cs="Times New Roman"/>
        </w:rPr>
        <w:t>(</w:t>
      </w:r>
      <w:r w:rsidR="00E105D0" w:rsidRPr="00E105D0">
        <w:rPr>
          <w:rFonts w:ascii="Times New Roman" w:hAnsi="Times New Roman" w:cs="Times New Roman"/>
          <w:b/>
          <w:bCs/>
        </w:rPr>
        <w:t>Ver</w:t>
      </w:r>
      <w:r w:rsidRPr="00796C88">
        <w:rPr>
          <w:rFonts w:ascii="Times New Roman" w:hAnsi="Times New Roman" w:cs="Times New Roman"/>
        </w:rPr>
        <w:t xml:space="preserve"> </w:t>
      </w:r>
      <w:hyperlink r:id="rId7" w:history="1">
        <w:r w:rsidRPr="00C26E8C">
          <w:rPr>
            <w:rStyle w:val="Hyperlink"/>
            <w:rFonts w:ascii="Times New Roman" w:hAnsi="Times New Roman" w:cs="Times New Roman"/>
            <w:b/>
            <w:bCs/>
          </w:rPr>
          <w:t>Categ</w:t>
        </w:r>
        <w:r w:rsidRPr="00C26E8C">
          <w:rPr>
            <w:rStyle w:val="Hyperlink"/>
            <w:rFonts w:ascii="Times New Roman" w:hAnsi="Times New Roman" w:cs="Times New Roman"/>
            <w:b/>
            <w:bCs/>
          </w:rPr>
          <w:t>o</w:t>
        </w:r>
        <w:r w:rsidRPr="00C26E8C">
          <w:rPr>
            <w:rStyle w:val="Hyperlink"/>
            <w:rFonts w:ascii="Times New Roman" w:hAnsi="Times New Roman" w:cs="Times New Roman"/>
            <w:b/>
            <w:bCs/>
          </w:rPr>
          <w:t>ria 15-1 Produção de substâncias e fabricação de produtos químicos</w:t>
        </w:r>
      </w:hyperlink>
      <w:r w:rsidR="00E105D0">
        <w:rPr>
          <w:rFonts w:ascii="Times New Roman" w:hAnsi="Times New Roman" w:cs="Times New Roman"/>
        </w:rPr>
        <w:t>)</w:t>
      </w:r>
    </w:p>
    <w:p w14:paraId="36764D2E" w14:textId="77777777" w:rsidR="00DD23D6" w:rsidRDefault="00DD23D6" w:rsidP="000E5EFF">
      <w:pPr>
        <w:pStyle w:val="Default"/>
        <w:jc w:val="both"/>
        <w:rPr>
          <w:rFonts w:ascii="Times New Roman" w:hAnsi="Times New Roman" w:cs="Times New Roman"/>
        </w:rPr>
      </w:pPr>
    </w:p>
    <w:p w14:paraId="26C29F6A" w14:textId="77777777" w:rsidR="00DD23D6" w:rsidRDefault="00DD23D6" w:rsidP="00DD23D6">
      <w:pPr>
        <w:spacing w:line="240" w:lineRule="auto"/>
        <w:jc w:val="both"/>
        <w:rPr>
          <w:rFonts w:ascii="Times New Roman" w:hAnsi="Times New Roman" w:cs="Times New Roman"/>
          <w:sz w:val="24"/>
          <w:szCs w:val="24"/>
        </w:rPr>
      </w:pPr>
      <w:r>
        <w:rPr>
          <w:rFonts w:ascii="Times New Roman" w:hAnsi="Times New Roman" w:cs="Times New Roman"/>
        </w:rPr>
        <w:t xml:space="preserve">5) </w:t>
      </w:r>
      <w:r>
        <w:rPr>
          <w:rFonts w:ascii="Times New Roman" w:hAnsi="Times New Roman" w:cs="Times New Roman"/>
          <w:b/>
          <w:bCs/>
          <w:sz w:val="24"/>
          <w:szCs w:val="24"/>
        </w:rPr>
        <w:t>G</w:t>
      </w:r>
      <w:r w:rsidRPr="00BE0956">
        <w:rPr>
          <w:rFonts w:ascii="Times New Roman" w:hAnsi="Times New Roman" w:cs="Times New Roman"/>
          <w:b/>
          <w:bCs/>
          <w:sz w:val="24"/>
          <w:szCs w:val="24"/>
        </w:rPr>
        <w:t>ases medicinais</w:t>
      </w:r>
      <w:r w:rsidRPr="00BE0956">
        <w:rPr>
          <w:rFonts w:ascii="Times New Roman" w:hAnsi="Times New Roman" w:cs="Times New Roman"/>
          <w:sz w:val="24"/>
          <w:szCs w:val="24"/>
        </w:rPr>
        <w:t>:</w:t>
      </w:r>
      <w:r w:rsidRPr="0081656E">
        <w:rPr>
          <w:rFonts w:ascii="Helvetica" w:hAnsi="Helvetica" w:cs="Helvetica"/>
          <w:color w:val="555555"/>
          <w:shd w:val="clear" w:color="auto" w:fill="FFFFFF"/>
        </w:rPr>
        <w:t xml:space="preserve"> </w:t>
      </w:r>
      <w:r w:rsidRPr="0081656E">
        <w:rPr>
          <w:rFonts w:ascii="Times New Roman" w:hAnsi="Times New Roman" w:cs="Times New Roman"/>
          <w:sz w:val="24"/>
          <w:szCs w:val="24"/>
        </w:rPr>
        <w:t xml:space="preserve">os gases medicinais enquadrados como medicamentos </w:t>
      </w:r>
      <w:r>
        <w:rPr>
          <w:rFonts w:ascii="Times New Roman" w:hAnsi="Times New Roman" w:cs="Times New Roman"/>
          <w:sz w:val="24"/>
          <w:szCs w:val="24"/>
        </w:rPr>
        <w:t xml:space="preserve">são </w:t>
      </w:r>
      <w:r w:rsidRPr="0081656E">
        <w:rPr>
          <w:rFonts w:ascii="Times New Roman" w:hAnsi="Times New Roman" w:cs="Times New Roman"/>
          <w:sz w:val="24"/>
          <w:szCs w:val="24"/>
        </w:rPr>
        <w:t>regulados pela Anvisa.</w:t>
      </w:r>
      <w:r>
        <w:rPr>
          <w:rFonts w:ascii="Times New Roman" w:hAnsi="Times New Roman" w:cs="Times New Roman"/>
          <w:sz w:val="24"/>
          <w:szCs w:val="24"/>
        </w:rPr>
        <w:t xml:space="preserve"> Maiores informações no link: </w:t>
      </w:r>
      <w:hyperlink r:id="rId8" w:history="1">
        <w:r w:rsidRPr="007316EF">
          <w:rPr>
            <w:rStyle w:val="Hyperlink"/>
            <w:rFonts w:ascii="Times New Roman" w:hAnsi="Times New Roman" w:cs="Times New Roman"/>
            <w:sz w:val="24"/>
            <w:szCs w:val="24"/>
          </w:rPr>
          <w:t>Gases medicinais - Informações gerais — Agência Nacional de Vigilância Sanitária - Anvisa</w:t>
        </w:r>
      </w:hyperlink>
    </w:p>
    <w:p w14:paraId="06F93E85" w14:textId="77777777" w:rsidR="0031335F" w:rsidRDefault="0031335F" w:rsidP="009B57CD">
      <w:pPr>
        <w:pStyle w:val="Default"/>
        <w:jc w:val="both"/>
        <w:rPr>
          <w:rFonts w:ascii="Times New Roman" w:hAnsi="Times New Roman" w:cs="Times New Roman"/>
        </w:rPr>
      </w:pPr>
    </w:p>
    <w:p w14:paraId="6436D023" w14:textId="77777777" w:rsidR="009B57CD" w:rsidRPr="00C03C44" w:rsidRDefault="009B57CD" w:rsidP="009B57CD">
      <w:pPr>
        <w:autoSpaceDE w:val="0"/>
        <w:autoSpaceDN w:val="0"/>
        <w:adjustRightInd w:val="0"/>
        <w:spacing w:after="0" w:line="240" w:lineRule="auto"/>
        <w:jc w:val="both"/>
        <w:rPr>
          <w:rFonts w:ascii="Times New Roman" w:hAnsi="Times New Roman" w:cs="Times New Roman"/>
          <w:sz w:val="24"/>
          <w:szCs w:val="24"/>
        </w:rPr>
      </w:pPr>
    </w:p>
    <w:p w14:paraId="25DBAB7A" w14:textId="77777777" w:rsidR="009B57CD" w:rsidRPr="0017579D" w:rsidRDefault="009B57CD" w:rsidP="009B57CD">
      <w:pPr>
        <w:autoSpaceDE w:val="0"/>
        <w:autoSpaceDN w:val="0"/>
        <w:adjustRightInd w:val="0"/>
        <w:spacing w:after="0" w:line="240" w:lineRule="auto"/>
        <w:jc w:val="both"/>
        <w:rPr>
          <w:rFonts w:ascii="Times New Roman" w:hAnsi="Times New Roman" w:cs="Times New Roman"/>
          <w:b/>
          <w:bCs/>
          <w:sz w:val="24"/>
          <w:szCs w:val="24"/>
        </w:rPr>
      </w:pPr>
      <w:r w:rsidRPr="0017579D">
        <w:rPr>
          <w:rFonts w:ascii="Times New Roman" w:hAnsi="Times New Roman" w:cs="Times New Roman"/>
          <w:b/>
          <w:bCs/>
          <w:sz w:val="24"/>
          <w:szCs w:val="24"/>
        </w:rPr>
        <w:t xml:space="preserve">Inserir no item de habilitação jurídica da empresa: </w:t>
      </w:r>
    </w:p>
    <w:p w14:paraId="774E3C36" w14:textId="77777777" w:rsidR="009B57CD" w:rsidRPr="0017579D" w:rsidRDefault="009B57CD" w:rsidP="009B57CD">
      <w:pPr>
        <w:autoSpaceDE w:val="0"/>
        <w:autoSpaceDN w:val="0"/>
        <w:adjustRightInd w:val="0"/>
        <w:spacing w:after="0" w:line="240" w:lineRule="auto"/>
        <w:jc w:val="both"/>
        <w:rPr>
          <w:rFonts w:ascii="Arial" w:hAnsi="Arial" w:cs="Arial"/>
          <w:color w:val="000000"/>
          <w:kern w:val="0"/>
          <w:sz w:val="20"/>
          <w:szCs w:val="20"/>
        </w:rPr>
      </w:pPr>
    </w:p>
    <w:p w14:paraId="0F68DC1B" w14:textId="12AD3FA4" w:rsidR="009B57CD" w:rsidRPr="0017579D" w:rsidRDefault="006E35DF" w:rsidP="009B57CD">
      <w:pPr>
        <w:autoSpaceDE w:val="0"/>
        <w:autoSpaceDN w:val="0"/>
        <w:adjustRightInd w:val="0"/>
        <w:spacing w:after="0" w:line="240" w:lineRule="auto"/>
        <w:jc w:val="both"/>
        <w:rPr>
          <w:rFonts w:ascii="Times New Roman" w:eastAsia="Malgun Gothic" w:hAnsi="Times New Roman" w:cs="Times New Roman"/>
          <w:sz w:val="24"/>
          <w:szCs w:val="24"/>
        </w:rPr>
      </w:pPr>
      <w:r w:rsidRPr="006E35DF">
        <w:rPr>
          <w:rFonts w:ascii="Times New Roman" w:eastAsia="Malgun Gothic" w:hAnsi="Times New Roman" w:cs="Times New Roman"/>
          <w:i/>
          <w:iCs/>
          <w:sz w:val="24"/>
          <w:szCs w:val="24"/>
        </w:rPr>
        <w:t>Ref. Ite</w:t>
      </w:r>
      <w:r w:rsidR="001D42C8">
        <w:rPr>
          <w:rFonts w:ascii="Times New Roman" w:eastAsia="Malgun Gothic" w:hAnsi="Times New Roman" w:cs="Times New Roman"/>
          <w:i/>
          <w:iCs/>
          <w:sz w:val="24"/>
          <w:szCs w:val="24"/>
        </w:rPr>
        <w:t>ns</w:t>
      </w:r>
      <w:r w:rsidRPr="006E35DF">
        <w:rPr>
          <w:rFonts w:ascii="Times New Roman" w:eastAsia="Malgun Gothic" w:hAnsi="Times New Roman" w:cs="Times New Roman"/>
          <w:i/>
          <w:iCs/>
          <w:sz w:val="24"/>
          <w:szCs w:val="24"/>
        </w:rPr>
        <w:t xml:space="preserve"> 1:</w:t>
      </w:r>
      <w:r>
        <w:rPr>
          <w:rFonts w:ascii="Times New Roman" w:eastAsia="Malgun Gothic" w:hAnsi="Times New Roman" w:cs="Times New Roman"/>
          <w:sz w:val="24"/>
          <w:szCs w:val="24"/>
        </w:rPr>
        <w:t xml:space="preserve"> </w:t>
      </w:r>
      <w:r w:rsidR="009B57CD" w:rsidRPr="0017579D">
        <w:rPr>
          <w:rFonts w:ascii="Times New Roman" w:eastAsia="Malgun Gothic" w:hAnsi="Times New Roman" w:cs="Times New Roman"/>
          <w:sz w:val="24"/>
          <w:szCs w:val="24"/>
        </w:rPr>
        <w:t>Para a aquisição de produtos, cujo comércio seja classificado como atividade potencialmente poluidora ou utilizadora de recursos ambientais, conforme Anexo I da Instrução Normativa IBAMA n° 13/2021</w:t>
      </w:r>
      <w:r>
        <w:rPr>
          <w:rFonts w:ascii="Times New Roman" w:eastAsia="Malgun Gothic" w:hAnsi="Times New Roman" w:cs="Times New Roman"/>
          <w:sz w:val="24"/>
          <w:szCs w:val="24"/>
        </w:rPr>
        <w:t>:</w:t>
      </w:r>
      <w:r w:rsidR="009B57CD" w:rsidRPr="0017579D">
        <w:rPr>
          <w:rFonts w:ascii="Times New Roman" w:eastAsia="Malgun Gothic" w:hAnsi="Times New Roman" w:cs="Times New Roman"/>
          <w:sz w:val="24"/>
          <w:szCs w:val="24"/>
        </w:rPr>
        <w:t xml:space="preserve"> Comprovante de Registro no Cadastro Técnico Federal de Atividades Potencialmente Poluidoras ou Utilizadoras de Recursos </w:t>
      </w:r>
      <w:r w:rsidR="009B57CD" w:rsidRPr="0017579D">
        <w:rPr>
          <w:rFonts w:ascii="Times New Roman" w:eastAsia="Malgun Gothic" w:hAnsi="Times New Roman" w:cs="Times New Roman"/>
          <w:sz w:val="24"/>
          <w:szCs w:val="24"/>
        </w:rPr>
        <w:lastRenderedPageBreak/>
        <w:t>Ambientais, acompanhado do respectivo Certificado de Regularidade válido, nos termos do artigo 17, inciso II, da Lei n° 6.938, de 1981, e da Instrução Normativa IBAMA n° 13/2021 e normas supervenientes.</w:t>
      </w:r>
    </w:p>
    <w:p w14:paraId="44D0AE48" w14:textId="5FFD03EF" w:rsidR="009B57CD" w:rsidRDefault="009B57CD" w:rsidP="009B57CD">
      <w:pPr>
        <w:autoSpaceDE w:val="0"/>
        <w:autoSpaceDN w:val="0"/>
        <w:adjustRightInd w:val="0"/>
        <w:spacing w:after="0" w:line="240" w:lineRule="auto"/>
        <w:jc w:val="both"/>
        <w:rPr>
          <w:rFonts w:ascii="Times New Roman" w:eastAsia="Malgun Gothic" w:hAnsi="Times New Roman" w:cs="Times New Roman"/>
          <w:sz w:val="24"/>
          <w:szCs w:val="24"/>
        </w:rPr>
      </w:pPr>
      <w:r w:rsidRPr="0017579D">
        <w:rPr>
          <w:rFonts w:ascii="Times New Roman" w:eastAsia="Malgun Gothic" w:hAnsi="Times New Roman" w:cs="Times New Roman"/>
          <w:sz w:val="24"/>
          <w:szCs w:val="24"/>
        </w:rPr>
        <w:t xml:space="preserve">a) A apresentação do Certificado de Regularidade será dispensada, caso o Pregoeiro logre êxito em obtê-lo mediante consulta on line ao sítio oficial do IBAMA, anexando-o ao processo; </w:t>
      </w:r>
    </w:p>
    <w:p w14:paraId="14BADC05" w14:textId="77777777" w:rsidR="009B57CD" w:rsidRDefault="009B57CD" w:rsidP="009B57CD">
      <w:pPr>
        <w:autoSpaceDE w:val="0"/>
        <w:autoSpaceDN w:val="0"/>
        <w:adjustRightInd w:val="0"/>
        <w:spacing w:after="0" w:line="240" w:lineRule="auto"/>
        <w:jc w:val="both"/>
        <w:rPr>
          <w:rFonts w:ascii="Times New Roman" w:eastAsia="Malgun Gothic" w:hAnsi="Times New Roman" w:cs="Times New Roman"/>
          <w:sz w:val="24"/>
          <w:szCs w:val="24"/>
        </w:rPr>
      </w:pPr>
    </w:p>
    <w:p w14:paraId="6FAFA173" w14:textId="7E53897E" w:rsidR="00E0770D" w:rsidRDefault="00E0770D" w:rsidP="009B57CD">
      <w:pPr>
        <w:autoSpaceDE w:val="0"/>
        <w:autoSpaceDN w:val="0"/>
        <w:adjustRightInd w:val="0"/>
        <w:spacing w:after="0" w:line="240" w:lineRule="auto"/>
        <w:rPr>
          <w:rFonts w:ascii="Times New Roman" w:eastAsia="Malgun Gothic" w:hAnsi="Times New Roman" w:cs="Times New Roman"/>
          <w:sz w:val="24"/>
          <w:szCs w:val="24"/>
        </w:rPr>
      </w:pPr>
      <w:r w:rsidRPr="00E0770D">
        <w:rPr>
          <w:rFonts w:ascii="Times New Roman" w:eastAsia="Malgun Gothic" w:hAnsi="Times New Roman" w:cs="Times New Roman"/>
          <w:i/>
          <w:iCs/>
          <w:sz w:val="24"/>
          <w:szCs w:val="24"/>
        </w:rPr>
        <w:t xml:space="preserve">Ref. Item </w:t>
      </w:r>
      <w:r w:rsidR="003252CD">
        <w:rPr>
          <w:rFonts w:ascii="Times New Roman" w:eastAsia="Malgun Gothic" w:hAnsi="Times New Roman" w:cs="Times New Roman"/>
          <w:i/>
          <w:iCs/>
          <w:sz w:val="24"/>
          <w:szCs w:val="24"/>
        </w:rPr>
        <w:t>2</w:t>
      </w:r>
      <w:r w:rsidRPr="00E0770D">
        <w:rPr>
          <w:rFonts w:ascii="Times New Roman" w:eastAsia="Malgun Gothic" w:hAnsi="Times New Roman" w:cs="Times New Roman"/>
          <w:i/>
          <w:iCs/>
          <w:sz w:val="24"/>
          <w:szCs w:val="24"/>
        </w:rPr>
        <w:t>:</w:t>
      </w:r>
      <w:r w:rsidR="009B57CD">
        <w:rPr>
          <w:rFonts w:ascii="Times New Roman" w:eastAsia="Malgun Gothic" w:hAnsi="Times New Roman" w:cs="Times New Roman"/>
          <w:sz w:val="24"/>
          <w:szCs w:val="24"/>
        </w:rPr>
        <w:t xml:space="preserve"> </w:t>
      </w:r>
      <w:r w:rsidR="009B57CD" w:rsidRPr="00A4422B">
        <w:rPr>
          <w:rFonts w:ascii="Times New Roman" w:eastAsia="Malgun Gothic" w:hAnsi="Times New Roman" w:cs="Times New Roman"/>
          <w:sz w:val="24"/>
          <w:szCs w:val="24"/>
        </w:rPr>
        <w:t xml:space="preserve">Apresentar </w:t>
      </w:r>
      <w:r w:rsidR="009B57CD" w:rsidRPr="006F4B15">
        <w:rPr>
          <w:rFonts w:ascii="Times New Roman" w:eastAsia="Malgun Gothic" w:hAnsi="Times New Roman" w:cs="Times New Roman"/>
          <w:sz w:val="24"/>
          <w:szCs w:val="24"/>
        </w:rPr>
        <w:t>autorização para o exercício da atividade de revenda de gás liquefeito de petróleo (GLP)</w:t>
      </w:r>
      <w:r w:rsidR="009B57CD" w:rsidRPr="00D51326">
        <w:rPr>
          <w:rFonts w:ascii="Arial" w:hAnsi="Arial" w:cs="Arial"/>
          <w:color w:val="333333"/>
          <w:shd w:val="clear" w:color="auto" w:fill="FFFFFF"/>
        </w:rPr>
        <w:t xml:space="preserve"> </w:t>
      </w:r>
      <w:r w:rsidR="009B57CD" w:rsidRPr="00D51326">
        <w:rPr>
          <w:rFonts w:ascii="Times New Roman" w:eastAsia="Malgun Gothic" w:hAnsi="Times New Roman" w:cs="Times New Roman"/>
          <w:sz w:val="24"/>
          <w:szCs w:val="24"/>
        </w:rPr>
        <w:t>outorgada pela ANP</w:t>
      </w:r>
      <w:r w:rsidR="009B57CD" w:rsidRPr="00A4422B">
        <w:rPr>
          <w:rFonts w:ascii="Times New Roman" w:eastAsia="Malgun Gothic" w:hAnsi="Times New Roman" w:cs="Times New Roman"/>
          <w:sz w:val="24"/>
          <w:szCs w:val="24"/>
        </w:rPr>
        <w:t>, em nome da empresa licitante, em validade;</w:t>
      </w:r>
    </w:p>
    <w:p w14:paraId="51292423" w14:textId="572E8316" w:rsidR="009B57CD" w:rsidRDefault="00E0770D" w:rsidP="009B57CD">
      <w:pPr>
        <w:autoSpaceDE w:val="0"/>
        <w:autoSpaceDN w:val="0"/>
        <w:adjustRightInd w:val="0"/>
        <w:spacing w:line="240" w:lineRule="auto"/>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a</w:t>
      </w:r>
      <w:r w:rsidR="009B57CD">
        <w:rPr>
          <w:rFonts w:ascii="Times New Roman" w:eastAsia="Malgun Gothic" w:hAnsi="Times New Roman" w:cs="Times New Roman"/>
          <w:sz w:val="24"/>
          <w:szCs w:val="24"/>
        </w:rPr>
        <w:t xml:space="preserve">) </w:t>
      </w:r>
      <w:r w:rsidR="009B57CD" w:rsidRPr="0017579D">
        <w:rPr>
          <w:rFonts w:ascii="Times New Roman" w:eastAsia="Malgun Gothic" w:hAnsi="Times New Roman" w:cs="Times New Roman"/>
          <w:sz w:val="24"/>
          <w:szCs w:val="24"/>
        </w:rPr>
        <w:t>A apresentação d</w:t>
      </w:r>
      <w:r w:rsidR="009B57CD">
        <w:rPr>
          <w:rFonts w:ascii="Times New Roman" w:eastAsia="Malgun Gothic" w:hAnsi="Times New Roman" w:cs="Times New Roman"/>
          <w:sz w:val="24"/>
          <w:szCs w:val="24"/>
        </w:rPr>
        <w:t>a autorização</w:t>
      </w:r>
      <w:r w:rsidR="009B57CD" w:rsidRPr="0017579D">
        <w:rPr>
          <w:rFonts w:ascii="Times New Roman" w:eastAsia="Malgun Gothic" w:hAnsi="Times New Roman" w:cs="Times New Roman"/>
          <w:sz w:val="24"/>
          <w:szCs w:val="24"/>
        </w:rPr>
        <w:t xml:space="preserve"> será dispensada, caso o Pregoeiro logre êxito em obtê-lo mediante consulta on line ao sítio oficial </w:t>
      </w:r>
      <w:r w:rsidR="009B57CD">
        <w:rPr>
          <w:rFonts w:ascii="Times New Roman" w:eastAsia="Malgun Gothic" w:hAnsi="Times New Roman" w:cs="Times New Roman"/>
          <w:sz w:val="24"/>
          <w:szCs w:val="24"/>
        </w:rPr>
        <w:t>da ANP (</w:t>
      </w:r>
      <w:hyperlink r:id="rId9" w:history="1">
        <w:r w:rsidR="009B57CD" w:rsidRPr="00502EB1">
          <w:rPr>
            <w:rStyle w:val="Hyperlink"/>
            <w:rFonts w:ascii="Times New Roman" w:eastAsia="Malgun Gothic" w:hAnsi="Times New Roman" w:cs="Times New Roman"/>
            <w:sz w:val="24"/>
            <w:szCs w:val="24"/>
          </w:rPr>
          <w:t>Consulta de Revendas de GLP</w:t>
        </w:r>
      </w:hyperlink>
      <w:r w:rsidR="009B57CD">
        <w:rPr>
          <w:rFonts w:ascii="Times New Roman" w:eastAsia="Malgun Gothic" w:hAnsi="Times New Roman" w:cs="Times New Roman"/>
          <w:sz w:val="24"/>
          <w:szCs w:val="24"/>
        </w:rPr>
        <w:t>)</w:t>
      </w:r>
      <w:r w:rsidR="009B57CD" w:rsidRPr="0017579D">
        <w:rPr>
          <w:rFonts w:ascii="Times New Roman" w:eastAsia="Malgun Gothic" w:hAnsi="Times New Roman" w:cs="Times New Roman"/>
          <w:sz w:val="24"/>
          <w:szCs w:val="24"/>
        </w:rPr>
        <w:t xml:space="preserve">, anexando-o ao processo; </w:t>
      </w:r>
    </w:p>
    <w:p w14:paraId="282215E6" w14:textId="77777777" w:rsidR="00B70724" w:rsidRDefault="00B70724" w:rsidP="00B70724">
      <w:pPr>
        <w:autoSpaceDE w:val="0"/>
        <w:autoSpaceDN w:val="0"/>
        <w:adjustRightInd w:val="0"/>
        <w:spacing w:after="0" w:line="240" w:lineRule="auto"/>
        <w:jc w:val="both"/>
        <w:rPr>
          <w:rFonts w:ascii="Times New Roman" w:hAnsi="Times New Roman" w:cs="Times New Roman"/>
          <w:b/>
          <w:bCs/>
          <w:sz w:val="24"/>
          <w:szCs w:val="24"/>
        </w:rPr>
      </w:pPr>
      <w:r w:rsidRPr="00DC4E3E">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3EAED792" w14:textId="77777777" w:rsidR="00B70724" w:rsidRPr="00DC4E3E" w:rsidRDefault="00B70724" w:rsidP="00B70724">
      <w:pPr>
        <w:autoSpaceDE w:val="0"/>
        <w:autoSpaceDN w:val="0"/>
        <w:adjustRightInd w:val="0"/>
        <w:spacing w:after="0" w:line="240" w:lineRule="auto"/>
        <w:jc w:val="both"/>
        <w:rPr>
          <w:rFonts w:ascii="Times New Roman" w:hAnsi="Times New Roman" w:cs="Times New Roman"/>
          <w:b/>
          <w:bCs/>
          <w:sz w:val="24"/>
          <w:szCs w:val="24"/>
        </w:rPr>
      </w:pPr>
    </w:p>
    <w:p w14:paraId="5490CCA9" w14:textId="251AA491" w:rsidR="00B70724" w:rsidRDefault="00B70724" w:rsidP="00B70724">
      <w:pPr>
        <w:pStyle w:val="Default"/>
        <w:jc w:val="both"/>
        <w:rPr>
          <w:rFonts w:ascii="Times New Roman" w:hAnsi="Times New Roman" w:cs="Times New Roman"/>
          <w:color w:val="auto"/>
          <w:kern w:val="2"/>
        </w:rPr>
      </w:pPr>
      <w:r w:rsidRPr="00B70724">
        <w:rPr>
          <w:rFonts w:ascii="Times New Roman" w:hAnsi="Times New Roman" w:cs="Times New Roman"/>
          <w:i/>
          <w:iCs/>
          <w:color w:val="auto"/>
          <w:kern w:val="2"/>
        </w:rPr>
        <w:t>Ref. Item 4:</w:t>
      </w:r>
      <w:r w:rsidRPr="00DC4E3E">
        <w:rPr>
          <w:rFonts w:ascii="Times New Roman" w:hAnsi="Times New Roman" w:cs="Times New Roman"/>
          <w:color w:val="auto"/>
          <w:kern w:val="2"/>
        </w:rPr>
        <w:t xml:space="preserve"> Para os itens</w:t>
      </w:r>
      <w:r>
        <w:rPr>
          <w:rFonts w:ascii="Times New Roman" w:hAnsi="Times New Roman" w:cs="Times New Roman"/>
        </w:rPr>
        <w:t xml:space="preserve"> (especificar os itens)</w:t>
      </w:r>
      <w:r w:rsidRPr="00DC4E3E">
        <w:rPr>
          <w:rFonts w:ascii="Times New Roman" w:hAnsi="Times New Roman" w:cs="Times New Roman"/>
          <w:color w:val="auto"/>
          <w:kern w:val="2"/>
        </w:rPr>
        <w:t xml:space="preserve">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w:t>
      </w:r>
    </w:p>
    <w:p w14:paraId="52085A51" w14:textId="77777777" w:rsidR="00B70724" w:rsidRPr="00864DFB" w:rsidRDefault="00B70724" w:rsidP="00B70724">
      <w:pPr>
        <w:pStyle w:val="Default"/>
        <w:jc w:val="both"/>
        <w:rPr>
          <w:rFonts w:ascii="Arial" w:eastAsiaTheme="minorHAnsi" w:hAnsi="Arial" w:cs="Arial"/>
          <w:sz w:val="20"/>
          <w:szCs w:val="20"/>
        </w:rPr>
      </w:pPr>
      <w:r w:rsidRPr="00DC4E3E">
        <w:rPr>
          <w:rFonts w:ascii="Times New Roman" w:hAnsi="Times New Roman" w:cs="Times New Roman"/>
          <w:color w:val="auto"/>
          <w:kern w:val="2"/>
        </w:rPr>
        <w:t xml:space="preserve">a.1) A apresentação do Certificado de Regularidade será dispensada, caso o Pregoeiro logre êxito em </w:t>
      </w:r>
      <w:r w:rsidRPr="00864DFB">
        <w:rPr>
          <w:rFonts w:ascii="Times New Roman" w:hAnsi="Times New Roman" w:cs="Times New Roman"/>
          <w:color w:val="auto"/>
          <w:kern w:val="2"/>
        </w:rPr>
        <w:t>obtê-lo mediante consulta on line ao sítio oficial do IBAMA, anexando-o ao processo;</w:t>
      </w:r>
    </w:p>
    <w:p w14:paraId="325C2B0E" w14:textId="77777777" w:rsidR="009B57CD" w:rsidRPr="0017579D" w:rsidRDefault="009B57CD" w:rsidP="009B57CD">
      <w:pPr>
        <w:autoSpaceDE w:val="0"/>
        <w:autoSpaceDN w:val="0"/>
        <w:adjustRightInd w:val="0"/>
        <w:spacing w:after="0" w:line="240" w:lineRule="auto"/>
        <w:jc w:val="both"/>
        <w:rPr>
          <w:rFonts w:ascii="Times New Roman" w:eastAsia="Malgun Gothic" w:hAnsi="Times New Roman" w:cs="Times New Roman"/>
          <w:sz w:val="24"/>
          <w:szCs w:val="24"/>
        </w:rPr>
      </w:pPr>
    </w:p>
    <w:p w14:paraId="14EC97D9" w14:textId="77777777" w:rsidR="009B57CD" w:rsidRPr="00594210" w:rsidRDefault="009B57CD" w:rsidP="009B57CD">
      <w:pPr>
        <w:autoSpaceDE w:val="0"/>
        <w:autoSpaceDN w:val="0"/>
        <w:adjustRightInd w:val="0"/>
        <w:spacing w:after="0" w:line="240" w:lineRule="auto"/>
        <w:jc w:val="both"/>
        <w:rPr>
          <w:rFonts w:ascii="Times New Roman" w:hAnsi="Times New Roman" w:cs="Times New Roman"/>
          <w:b/>
          <w:bCs/>
          <w:sz w:val="24"/>
          <w:szCs w:val="24"/>
        </w:rPr>
      </w:pPr>
      <w:r w:rsidRPr="00885C5E">
        <w:rPr>
          <w:rFonts w:ascii="Times New Roman" w:hAnsi="Times New Roman" w:cs="Times New Roman"/>
          <w:b/>
          <w:bCs/>
          <w:sz w:val="24"/>
          <w:szCs w:val="24"/>
        </w:rPr>
        <w:t xml:space="preserve">Inserir no item de obrigações da contratada: </w:t>
      </w:r>
    </w:p>
    <w:p w14:paraId="538A188D" w14:textId="77777777" w:rsidR="009B57CD" w:rsidRPr="00A56C52" w:rsidRDefault="009B57CD" w:rsidP="009B57CD">
      <w:pPr>
        <w:autoSpaceDE w:val="0"/>
        <w:autoSpaceDN w:val="0"/>
        <w:adjustRightInd w:val="0"/>
        <w:spacing w:after="0" w:line="240" w:lineRule="auto"/>
        <w:jc w:val="both"/>
        <w:rPr>
          <w:rFonts w:ascii="Times New Roman" w:hAnsi="Times New Roman" w:cs="Times New Roman"/>
          <w:sz w:val="24"/>
          <w:szCs w:val="24"/>
        </w:rPr>
      </w:pPr>
    </w:p>
    <w:p w14:paraId="73DCC651" w14:textId="437E0960" w:rsidR="009B57CD" w:rsidRPr="00AA4BE9" w:rsidRDefault="003252CD" w:rsidP="009B57CD">
      <w:pPr>
        <w:autoSpaceDE w:val="0"/>
        <w:autoSpaceDN w:val="0"/>
        <w:adjustRightInd w:val="0"/>
        <w:spacing w:after="0" w:line="240" w:lineRule="auto"/>
        <w:jc w:val="both"/>
        <w:rPr>
          <w:rFonts w:ascii="Times New Roman" w:hAnsi="Times New Roman" w:cs="Times New Roman"/>
          <w:sz w:val="24"/>
          <w:szCs w:val="24"/>
        </w:rPr>
      </w:pPr>
      <w:r w:rsidRPr="003252CD">
        <w:rPr>
          <w:rFonts w:ascii="Times New Roman" w:hAnsi="Times New Roman" w:cs="Times New Roman"/>
          <w:i/>
          <w:iCs/>
          <w:sz w:val="24"/>
          <w:szCs w:val="24"/>
        </w:rPr>
        <w:t>Ref. Item 3</w:t>
      </w:r>
      <w:r w:rsidR="000E5EFF">
        <w:rPr>
          <w:rFonts w:ascii="Times New Roman" w:hAnsi="Times New Roman" w:cs="Times New Roman"/>
          <w:i/>
          <w:iCs/>
          <w:sz w:val="24"/>
          <w:szCs w:val="24"/>
        </w:rPr>
        <w:t>:</w:t>
      </w:r>
      <w:r w:rsidR="009B57CD" w:rsidRPr="00AA4BE9">
        <w:rPr>
          <w:rFonts w:ascii="Times New Roman" w:hAnsi="Times New Roman" w:cs="Times New Roman"/>
          <w:sz w:val="24"/>
          <w:szCs w:val="24"/>
        </w:rPr>
        <w:t xml:space="preserve"> Para a gestão e operação dos resíduos perigosos gerados a partir da presente contratação, a contratada deverá observar a Lei nº 12.305, de 2010 – Política Nacional de Resíduos Sólidos, Decreto nº 10.936, de 2022, e Instrução Normativa 1, 25/01/2013 – IBAMA. </w:t>
      </w:r>
    </w:p>
    <w:p w14:paraId="77B0FD3F" w14:textId="77777777" w:rsidR="009B57CD" w:rsidRPr="00AA4BE9" w:rsidRDefault="009B57CD" w:rsidP="009B57CD">
      <w:pPr>
        <w:autoSpaceDE w:val="0"/>
        <w:autoSpaceDN w:val="0"/>
        <w:adjustRightInd w:val="0"/>
        <w:spacing w:after="0" w:line="240" w:lineRule="auto"/>
        <w:jc w:val="both"/>
        <w:rPr>
          <w:rFonts w:ascii="Times New Roman" w:hAnsi="Times New Roman" w:cs="Times New Roman"/>
          <w:sz w:val="24"/>
          <w:szCs w:val="24"/>
        </w:rPr>
      </w:pPr>
      <w:r w:rsidRPr="00AA4BE9">
        <w:rPr>
          <w:rFonts w:ascii="Times New Roman" w:hAnsi="Times New Roman" w:cs="Times New Roman"/>
          <w:sz w:val="24"/>
          <w:szCs w:val="24"/>
        </w:rPr>
        <w:t xml:space="preserve">a.1) estar regularmente cadastrada no Cadastro Nacional de Operadores de Resíduos Perigosos – CNORP, parte integrante do Cadastro Técnico Federal de Atividades Potencialmente Poluidoras ou Utilizadoras de Recursos Ambientais, conforme classificação do Anexo I da Instrução Normativa IBAMA nº 1, de 25/01/2013; </w:t>
      </w:r>
    </w:p>
    <w:p w14:paraId="5BF04269" w14:textId="77777777" w:rsidR="009B57CD" w:rsidRPr="00AA4BE9" w:rsidRDefault="009B57CD" w:rsidP="009B57CD">
      <w:pPr>
        <w:autoSpaceDE w:val="0"/>
        <w:autoSpaceDN w:val="0"/>
        <w:adjustRightInd w:val="0"/>
        <w:spacing w:after="0" w:line="240" w:lineRule="auto"/>
        <w:jc w:val="both"/>
        <w:rPr>
          <w:rFonts w:ascii="Times New Roman" w:hAnsi="Times New Roman" w:cs="Times New Roman"/>
          <w:sz w:val="24"/>
          <w:szCs w:val="24"/>
        </w:rPr>
      </w:pPr>
      <w:r w:rsidRPr="00AA4BE9">
        <w:rPr>
          <w:rFonts w:ascii="Times New Roman" w:hAnsi="Times New Roman" w:cs="Times New Roman"/>
          <w:sz w:val="24"/>
          <w:szCs w:val="24"/>
        </w:rPr>
        <w:t xml:space="preserve">a.2) possuir plano de gerenciamento de resíduos sólidos aprovado pelo órgão competente e em conformidade com as exigências legais e normas pertinentes dos órgãos do SISNAMA, do SNVS e do SUASA; </w:t>
      </w:r>
    </w:p>
    <w:p w14:paraId="2B309EF9" w14:textId="77777777" w:rsidR="009B57CD" w:rsidRPr="00AA4BE9" w:rsidRDefault="009B57CD" w:rsidP="009B57CD">
      <w:pPr>
        <w:autoSpaceDE w:val="0"/>
        <w:autoSpaceDN w:val="0"/>
        <w:adjustRightInd w:val="0"/>
        <w:spacing w:after="0" w:line="240" w:lineRule="auto"/>
        <w:jc w:val="both"/>
        <w:rPr>
          <w:rFonts w:ascii="Times New Roman" w:hAnsi="Times New Roman" w:cs="Times New Roman"/>
          <w:sz w:val="24"/>
          <w:szCs w:val="24"/>
        </w:rPr>
      </w:pPr>
      <w:r w:rsidRPr="00AA4BE9">
        <w:rPr>
          <w:rFonts w:ascii="Times New Roman" w:hAnsi="Times New Roman" w:cs="Times New Roman"/>
          <w:sz w:val="24"/>
          <w:szCs w:val="24"/>
        </w:rPr>
        <w:t xml:space="preserve">a.3) possuir, caso exigível, autorização ou licenciamento junto ao órgão competente, que comprove, no mínimo, capacidade técnica, econômica e condições para prover os cuidados necessários ao gerenciamento desses resíduos. </w:t>
      </w:r>
    </w:p>
    <w:p w14:paraId="034F6E5C" w14:textId="77777777" w:rsidR="009B57CD" w:rsidRPr="00AA4BE9" w:rsidRDefault="009B57CD" w:rsidP="009B57CD">
      <w:pPr>
        <w:autoSpaceDE w:val="0"/>
        <w:autoSpaceDN w:val="0"/>
        <w:adjustRightInd w:val="0"/>
        <w:spacing w:after="0" w:line="240" w:lineRule="auto"/>
        <w:jc w:val="both"/>
        <w:rPr>
          <w:rFonts w:ascii="Times New Roman" w:hAnsi="Times New Roman" w:cs="Times New Roman"/>
          <w:sz w:val="24"/>
          <w:szCs w:val="24"/>
        </w:rPr>
      </w:pPr>
      <w:r w:rsidRPr="00AA4BE9">
        <w:rPr>
          <w:rFonts w:ascii="Times New Roman" w:hAnsi="Times New Roman" w:cs="Times New Roman"/>
          <w:sz w:val="24"/>
          <w:szCs w:val="24"/>
        </w:rPr>
        <w:t xml:space="preserve">b) A Contratada que também operar com resíduos perigosos, em qualquer fase do seu gerenciamento, nos termos da Lei nº 12.305, de 2010 – Política Nacional de Resíduos Sólidos, e Decreto nº 10.936, de 2022, deverá: </w:t>
      </w:r>
    </w:p>
    <w:p w14:paraId="19495FDE" w14:textId="77777777" w:rsidR="009B57CD" w:rsidRPr="00AA4BE9" w:rsidRDefault="009B57CD" w:rsidP="009B57CD">
      <w:pPr>
        <w:autoSpaceDE w:val="0"/>
        <w:autoSpaceDN w:val="0"/>
        <w:adjustRightInd w:val="0"/>
        <w:spacing w:after="0" w:line="240" w:lineRule="auto"/>
        <w:jc w:val="both"/>
        <w:rPr>
          <w:rFonts w:ascii="Times New Roman" w:hAnsi="Times New Roman" w:cs="Times New Roman"/>
          <w:sz w:val="24"/>
          <w:szCs w:val="24"/>
        </w:rPr>
      </w:pPr>
      <w:r w:rsidRPr="00AA4BE9">
        <w:rPr>
          <w:rFonts w:ascii="Times New Roman" w:hAnsi="Times New Roman" w:cs="Times New Roman"/>
          <w:sz w:val="24"/>
          <w:szCs w:val="24"/>
        </w:rPr>
        <w:t xml:space="preserve">b.1) elaborar plano de gerenciamento de resíduos perigosos, a ser submetido ao órgão competente; </w:t>
      </w:r>
    </w:p>
    <w:p w14:paraId="2EEF9414" w14:textId="77777777" w:rsidR="009B57CD" w:rsidRDefault="009B57CD" w:rsidP="009B57CD">
      <w:pPr>
        <w:spacing w:line="240" w:lineRule="auto"/>
        <w:jc w:val="both"/>
        <w:rPr>
          <w:rFonts w:ascii="Times New Roman" w:hAnsi="Times New Roman" w:cs="Times New Roman"/>
          <w:sz w:val="24"/>
          <w:szCs w:val="24"/>
        </w:rPr>
      </w:pPr>
      <w:r w:rsidRPr="00AA4BE9">
        <w:rPr>
          <w:rFonts w:ascii="Times New Roman" w:hAnsi="Times New Roman" w:cs="Times New Roman"/>
          <w:sz w:val="24"/>
          <w:szCs w:val="24"/>
        </w:rPr>
        <w:lastRenderedPageBreak/>
        <w:t xml:space="preserve">b.2) adotar medidas destinadas a reduzir o volume e a periculosidade dos resíduos sob sua responsabilidade, bem como a aperfeiçoar seu gerenciamento; </w:t>
      </w:r>
    </w:p>
    <w:p w14:paraId="3810983C" w14:textId="77777777" w:rsidR="009B57CD" w:rsidRDefault="009B57CD" w:rsidP="009B57CD">
      <w:pPr>
        <w:spacing w:line="240" w:lineRule="auto"/>
        <w:jc w:val="both"/>
        <w:rPr>
          <w:rFonts w:ascii="Times New Roman" w:hAnsi="Times New Roman" w:cs="Times New Roman"/>
          <w:sz w:val="24"/>
          <w:szCs w:val="24"/>
        </w:rPr>
      </w:pPr>
      <w:r w:rsidRPr="007A031B">
        <w:rPr>
          <w:rFonts w:ascii="Times New Roman" w:hAnsi="Times New Roman" w:cs="Times New Roman"/>
          <w:sz w:val="24"/>
          <w:szCs w:val="24"/>
        </w:rPr>
        <w:t>b.3) informar imediatamente aos órgãos competentes sobre a ocorrência de acidentes ou outros sinistros relacionados aos resíduos perigosos.</w:t>
      </w:r>
    </w:p>
    <w:p w14:paraId="279E71E2" w14:textId="77777777" w:rsidR="009B57CD" w:rsidRPr="00373706" w:rsidRDefault="009B57CD" w:rsidP="009B57CD">
      <w:pPr>
        <w:spacing w:line="240" w:lineRule="auto"/>
        <w:jc w:val="both"/>
        <w:rPr>
          <w:rFonts w:ascii="Times New Roman" w:hAnsi="Times New Roman" w:cs="Times New Roman"/>
          <w:color w:val="2F5496" w:themeColor="accent1" w:themeShade="BF"/>
          <w:sz w:val="24"/>
          <w:szCs w:val="24"/>
        </w:rPr>
      </w:pPr>
      <w:r w:rsidRPr="00373706">
        <w:rPr>
          <w:rFonts w:ascii="Times New Roman" w:hAnsi="Times New Roman" w:cs="Times New Roman"/>
          <w:i/>
          <w:iCs/>
          <w:color w:val="2F5496" w:themeColor="accent1" w:themeShade="BF"/>
          <w:sz w:val="24"/>
          <w:szCs w:val="24"/>
        </w:rPr>
        <w:t>Possíveis impactos ambientais:</w:t>
      </w:r>
    </w:p>
    <w:p w14:paraId="0483BEA7" w14:textId="77777777" w:rsidR="009B57CD" w:rsidRPr="00A56C52" w:rsidRDefault="009B57CD" w:rsidP="009B57CD">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A aquisição em si não gera impactos ambientais diretamente. Porém, foram adotados requisitos no sentido de se adquirir produtos que causem menores danos ao meio ambiente.</w:t>
      </w:r>
    </w:p>
    <w:p w14:paraId="4D35AE16" w14:textId="77777777" w:rsidR="009B57CD" w:rsidRPr="00A56C52" w:rsidRDefault="009B57CD" w:rsidP="009B57CD">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t xml:space="preserve">Além disso,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1F645C48" w14:textId="77777777" w:rsidR="009B57CD" w:rsidRPr="00303C61" w:rsidRDefault="009B57CD" w:rsidP="009B57CD">
      <w:pPr>
        <w:autoSpaceDE w:val="0"/>
        <w:autoSpaceDN w:val="0"/>
        <w:adjustRightInd w:val="0"/>
        <w:spacing w:after="0" w:line="240" w:lineRule="auto"/>
        <w:jc w:val="both"/>
        <w:rPr>
          <w:rFonts w:ascii="Times New Roman" w:eastAsia="Malgun Gothic" w:hAnsi="Times New Roman" w:cs="Times New Roman"/>
          <w:kern w:val="0"/>
          <w:sz w:val="24"/>
          <w:szCs w:val="24"/>
        </w:rPr>
      </w:pPr>
      <w:r>
        <w:rPr>
          <w:rFonts w:ascii="Times New Roman" w:hAnsi="Times New Roman" w:cs="Times New Roman"/>
          <w:kern w:val="0"/>
          <w:sz w:val="24"/>
          <w:szCs w:val="24"/>
        </w:rPr>
        <w:t xml:space="preserve">Especificamente em relação ao gás GLP, o mesmo também se enquadra como </w:t>
      </w:r>
      <w:r w:rsidRPr="00303C61">
        <w:rPr>
          <w:rFonts w:ascii="Times New Roman" w:eastAsia="Malgun Gothic" w:hAnsi="Times New Roman" w:cs="Times New Roman"/>
          <w:kern w:val="0"/>
          <w:sz w:val="24"/>
          <w:szCs w:val="24"/>
        </w:rPr>
        <w:t>atividade considerada geradora de resíduos perigosos,</w:t>
      </w:r>
      <w:r>
        <w:rPr>
          <w:rFonts w:ascii="Times New Roman" w:eastAsia="Malgun Gothic" w:hAnsi="Times New Roman" w:cs="Times New Roman"/>
          <w:kern w:val="0"/>
          <w:sz w:val="24"/>
          <w:szCs w:val="24"/>
        </w:rPr>
        <w:t xml:space="preserve"> devendo atender às normativas do IBAMA e na ANP.</w:t>
      </w:r>
    </w:p>
    <w:p w14:paraId="68350B46" w14:textId="77777777" w:rsidR="009B57CD" w:rsidRDefault="009B57CD" w:rsidP="009B57CD">
      <w:pPr>
        <w:autoSpaceDE w:val="0"/>
        <w:autoSpaceDN w:val="0"/>
        <w:adjustRightInd w:val="0"/>
        <w:spacing w:after="0" w:line="240" w:lineRule="auto"/>
        <w:jc w:val="both"/>
        <w:rPr>
          <w:rFonts w:ascii="Times New Roman" w:hAnsi="Times New Roman" w:cs="Times New Roman"/>
          <w:sz w:val="24"/>
          <w:szCs w:val="24"/>
        </w:rPr>
      </w:pPr>
    </w:p>
    <w:p w14:paraId="55FE6374" w14:textId="77777777" w:rsidR="009B57CD" w:rsidRPr="00A56C52" w:rsidRDefault="009B57CD" w:rsidP="009B57C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1B3A4FFB" w14:textId="77777777" w:rsidR="009B57CD" w:rsidRDefault="009B57CD"/>
    <w:sectPr w:rsidR="009B57C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7CD"/>
    <w:rsid w:val="000E386B"/>
    <w:rsid w:val="000E5EFF"/>
    <w:rsid w:val="000F36FF"/>
    <w:rsid w:val="001706C2"/>
    <w:rsid w:val="001D42C8"/>
    <w:rsid w:val="0031335F"/>
    <w:rsid w:val="003252CD"/>
    <w:rsid w:val="003D7FD2"/>
    <w:rsid w:val="00564638"/>
    <w:rsid w:val="006E35DF"/>
    <w:rsid w:val="00797F60"/>
    <w:rsid w:val="007C6AC6"/>
    <w:rsid w:val="00802B5D"/>
    <w:rsid w:val="008333B9"/>
    <w:rsid w:val="009B57CD"/>
    <w:rsid w:val="00A54EB9"/>
    <w:rsid w:val="00B70724"/>
    <w:rsid w:val="00B96F26"/>
    <w:rsid w:val="00D125E7"/>
    <w:rsid w:val="00DB2BE2"/>
    <w:rsid w:val="00DD23D6"/>
    <w:rsid w:val="00E0770D"/>
    <w:rsid w:val="00E105D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A4BC9"/>
  <w15:chartTrackingRefBased/>
  <w15:docId w15:val="{A281881A-C2C9-44FF-A961-D2B6C6F47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B57CD"/>
    <w:pPr>
      <w:ind w:left="720"/>
      <w:contextualSpacing/>
    </w:pPr>
  </w:style>
  <w:style w:type="paragraph" w:customStyle="1" w:styleId="Default">
    <w:name w:val="Default"/>
    <w:rsid w:val="009B57CD"/>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9B57CD"/>
    <w:rPr>
      <w:color w:val="0563C1" w:themeColor="hyperlink"/>
      <w:u w:val="single"/>
    </w:rPr>
  </w:style>
  <w:style w:type="character" w:styleId="HiperlinkVisitado">
    <w:name w:val="FollowedHyperlink"/>
    <w:basedOn w:val="Fontepargpadro"/>
    <w:uiPriority w:val="99"/>
    <w:semiHidden/>
    <w:unhideWhenUsed/>
    <w:rsid w:val="00DB2B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br/anvisa/pt-br/setorregulado/regularizacao/medicamentos/gases-medicinais/informacoes-gerais" TargetMode="External"/><Relationship Id="rId3" Type="http://schemas.openxmlformats.org/officeDocument/2006/relationships/settings" Target="settings.xml"/><Relationship Id="rId7" Type="http://schemas.openxmlformats.org/officeDocument/2006/relationships/hyperlink" Target="https://sei.ibama.gov.br/documento_consulta_externa.php?id_acesso_externo=1574615&amp;id_documento=22023761&amp;infra_hash=5de1eee7ec19d12b31c816a63a5eb1b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tosoficiais.com.br/anp/resolucao-n-958-2023-regulamenta-a-autorizacao-para-o-exercicio-da-atividade-de-revenda-de-gas-liquefeito-de-petroleo-glp" TargetMode="External"/><Relationship Id="rId11" Type="http://schemas.openxmlformats.org/officeDocument/2006/relationships/theme" Target="theme/theme1.xml"/><Relationship Id="rId5" Type="http://schemas.openxmlformats.org/officeDocument/2006/relationships/hyperlink" Target="https://www.gov.br/ibama/pt-br/servicos/cadastros/ctf/ctf-app/ftes/lista-de-todas-as-ftes/ftes-categoria-18-transporte-terminais-depositos-e-comercio-18-6-comercio-de-combustiveis-e-derivados-de-petroleo"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ov.br/anp/pt-br/assuntos/distribuicao-e-revenda/revendedor/consulta-revenda-glp-web"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1224</Words>
  <Characters>6614</Characters>
  <Application>Microsoft Office Word</Application>
  <DocSecurity>0</DocSecurity>
  <Lines>55</Lines>
  <Paragraphs>15</Paragraphs>
  <ScaleCrop>false</ScaleCrop>
  <Company/>
  <LinksUpToDate>false</LinksUpToDate>
  <CharactersWithSpaces>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19</cp:revision>
  <dcterms:created xsi:type="dcterms:W3CDTF">2025-08-07T13:41:00Z</dcterms:created>
  <dcterms:modified xsi:type="dcterms:W3CDTF">2025-08-16T18:31:00Z</dcterms:modified>
</cp:coreProperties>
</file>