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E83FBB" w14:textId="77777777" w:rsidR="009E0300" w:rsidRPr="00A07ECD" w:rsidRDefault="009E0300" w:rsidP="009E0300">
      <w:pPr>
        <w:spacing w:line="240" w:lineRule="auto"/>
        <w:jc w:val="both"/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</w:pPr>
      <w:r w:rsidRPr="00A07ECD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Preg</w:t>
      </w:r>
      <w:r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ões:</w:t>
      </w:r>
    </w:p>
    <w:p w14:paraId="6CE1DC78" w14:textId="77777777" w:rsidR="009E0300" w:rsidRPr="00A56C52" w:rsidRDefault="009E0300" w:rsidP="009E0300">
      <w:pPr>
        <w:pStyle w:val="Default"/>
        <w:numPr>
          <w:ilvl w:val="0"/>
          <w:numId w:val="2"/>
        </w:numPr>
        <w:jc w:val="both"/>
        <w:rPr>
          <w:rFonts w:ascii="Times New Roman" w:eastAsiaTheme="minorHAnsi" w:hAnsi="Times New Roman" w:cs="Times New Roman"/>
        </w:rPr>
      </w:pPr>
      <w:r>
        <w:rPr>
          <w:rFonts w:ascii="Times New Roman" w:eastAsiaTheme="minorHAnsi" w:hAnsi="Times New Roman" w:cs="Times New Roman"/>
          <w:color w:val="auto"/>
          <w:kern w:val="2"/>
        </w:rPr>
        <w:t>M</w:t>
      </w:r>
      <w:r w:rsidRPr="00A56C52">
        <w:rPr>
          <w:rFonts w:ascii="Times New Roman" w:eastAsiaTheme="minorHAnsi" w:hAnsi="Times New Roman" w:cs="Times New Roman"/>
          <w:color w:val="auto"/>
          <w:kern w:val="2"/>
        </w:rPr>
        <w:t>anutenção predial preventiva e corretiva dos bens imóveis com base na tabela SINAPI/RS</w:t>
      </w:r>
      <w:r w:rsidRPr="00A56C52">
        <w:rPr>
          <w:rFonts w:ascii="Times New Roman" w:hAnsi="Times New Roman" w:cs="Times New Roman"/>
        </w:rPr>
        <w:t xml:space="preserve"> </w:t>
      </w:r>
    </w:p>
    <w:p w14:paraId="6FF488E8" w14:textId="77777777" w:rsidR="009E0300" w:rsidRPr="009320FF" w:rsidRDefault="009E0300" w:rsidP="009E0300">
      <w:pPr>
        <w:pStyle w:val="PargrafodaLista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350EE4" w14:textId="77777777" w:rsidR="009E0300" w:rsidRPr="00033B10" w:rsidRDefault="009E0300" w:rsidP="009E0300">
      <w:pPr>
        <w:spacing w:line="240" w:lineRule="auto"/>
        <w:jc w:val="both"/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</w:pPr>
      <w:r w:rsidRPr="00033B10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Requisitos de Sustentabilidade:</w:t>
      </w:r>
    </w:p>
    <w:p w14:paraId="7588F5CD" w14:textId="77777777" w:rsidR="009E0300" w:rsidRPr="00A56C52" w:rsidRDefault="009E0300" w:rsidP="009E03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A56C52">
        <w:rPr>
          <w:rFonts w:ascii="Times New Roman" w:hAnsi="Times New Roman" w:cs="Times New Roman"/>
          <w:sz w:val="24"/>
          <w:szCs w:val="24"/>
        </w:rPr>
        <w:t>A Contratada deverá observar as diretrizes, critérios e procedimentos para a gestão dos resíduos da construção civil estabelecidos na Lei nº 12.305, de 2010 – Política Nacional de Resíduos Sólidos, artigos 3º e 10º da Resolução nº 307, de 05/07/2002, do Conselho Nacional de Meio Ambiente – CONAMA, e Instrução Normativa SLTI/MPOG n° 1, de 19/01/2010.</w:t>
      </w:r>
    </w:p>
    <w:p w14:paraId="224AA36C" w14:textId="77777777" w:rsidR="009E0300" w:rsidRPr="00A56C52" w:rsidRDefault="009E0300" w:rsidP="009E03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>Os resíduos gerados na execução dos serviços não poderão ser dispostos em aterros de resíduos domiciliares, áreas de “bota fora”, encostas, corpos d´água, lotes vagos e áreas protegidas por Lei, bem como em áreas não licenciadas. Ao contrário, deverão ser destinados de acordo com os seguintes procedimentos, observando-se a classificação resíduos estabelecida pelo art. 3º da Resolução CONAMA n° 307, de 05/07/2022:</w:t>
      </w:r>
    </w:p>
    <w:p w14:paraId="246C3A15" w14:textId="77777777" w:rsidR="009E0300" w:rsidRPr="00A56C52" w:rsidRDefault="009E0300" w:rsidP="009E0300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>Classe A: deverão ser reutilizados ou reciclados na forma de agregados ou encaminhados a aterro de resíduos Classe A de reservação de material para usos futuros;</w:t>
      </w:r>
    </w:p>
    <w:p w14:paraId="66FCF4EB" w14:textId="77777777" w:rsidR="009E0300" w:rsidRPr="00A56C52" w:rsidRDefault="009E0300" w:rsidP="009E0300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Classe B: deverão ser reutilizados, reciclados ou encaminhados a áreas de armazenamento temporário, sendo dispostos de modo a permitir a sua utilização ou reciclagem futura; </w:t>
      </w:r>
    </w:p>
    <w:p w14:paraId="114CCB8B" w14:textId="77777777" w:rsidR="009E0300" w:rsidRPr="00A56C52" w:rsidRDefault="009E0300" w:rsidP="009E0300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Classe C: deverão ser armazenados, transportados e destinados em conformidade com as normas técnicas específicas; </w:t>
      </w:r>
    </w:p>
    <w:p w14:paraId="4A2943C0" w14:textId="77777777" w:rsidR="009E0300" w:rsidRPr="00A56C52" w:rsidRDefault="009E0300" w:rsidP="009E0300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>Classe D: deverão ser armazenados, transportados e destinados em conformidade com as normas técnicas específicas.</w:t>
      </w:r>
    </w:p>
    <w:p w14:paraId="2C18F5B1" w14:textId="77777777" w:rsidR="009E0300" w:rsidRPr="00A56C52" w:rsidRDefault="009E0300" w:rsidP="009E03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A56C52">
        <w:rPr>
          <w:rFonts w:ascii="Times New Roman" w:hAnsi="Times New Roman" w:cs="Times New Roman"/>
          <w:sz w:val="24"/>
          <w:szCs w:val="24"/>
        </w:rPr>
        <w:t>Orienta-se que as embalagens de tintas eventualmente usadas na prestação dos serviços sejam direcionadas para os canais tradicionais de reciclagem já disponíveis ao público para serem submetidas a sistema de logística reversa.</w:t>
      </w:r>
    </w:p>
    <w:p w14:paraId="54965214" w14:textId="77777777" w:rsidR="009E0300" w:rsidRPr="00A56C52" w:rsidRDefault="009E0300" w:rsidP="009E030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A56C52">
        <w:rPr>
          <w:rFonts w:ascii="Times New Roman" w:hAnsi="Times New Roman" w:cs="Times New Roman"/>
          <w:sz w:val="24"/>
          <w:szCs w:val="24"/>
        </w:rPr>
        <w:t>A contratada deverá adotar as práticas de sustentabilidade previstas no Decreto 7.746/2012 e no art. 6º da Instrução Normativa SLTI /MP nº 1, de 19/01/2010, no que couber.</w:t>
      </w:r>
    </w:p>
    <w:p w14:paraId="25D7ADBF" w14:textId="77777777" w:rsidR="009E0300" w:rsidRDefault="009E0300" w:rsidP="009E030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31421D" w14:textId="77777777" w:rsidR="009E0300" w:rsidRPr="00A56C52" w:rsidRDefault="009E0300" w:rsidP="009E030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C2488D" w14:textId="77777777" w:rsidR="009E0300" w:rsidRPr="00E11881" w:rsidRDefault="009E0300" w:rsidP="009E0300">
      <w:pPr>
        <w:pStyle w:val="Default"/>
        <w:jc w:val="both"/>
        <w:rPr>
          <w:rFonts w:ascii="Times New Roman" w:eastAsiaTheme="minorHAnsi" w:hAnsi="Times New Roman" w:cs="Times New Roman"/>
          <w:i/>
          <w:iCs/>
          <w:color w:val="2F5496" w:themeColor="accent1" w:themeShade="BF"/>
          <w:kern w:val="2"/>
        </w:rPr>
      </w:pPr>
      <w:r w:rsidRPr="00E11881">
        <w:rPr>
          <w:rFonts w:ascii="Times New Roman" w:eastAsiaTheme="minorHAnsi" w:hAnsi="Times New Roman" w:cs="Times New Roman"/>
          <w:i/>
          <w:iCs/>
          <w:color w:val="2F5496" w:themeColor="accent1" w:themeShade="BF"/>
          <w:kern w:val="2"/>
        </w:rPr>
        <w:t>Possíveis impactos ambientais:</w:t>
      </w:r>
    </w:p>
    <w:p w14:paraId="1265FFEC" w14:textId="77777777" w:rsidR="009E0300" w:rsidRPr="00A56C52" w:rsidRDefault="009E0300" w:rsidP="009E030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17CB23" w14:textId="77777777" w:rsidR="009E0300" w:rsidRPr="00A56C52" w:rsidRDefault="009E0300" w:rsidP="009E03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>A execução dos serviços gera impacto ambiental, principalmente devido à geração de resíduos da construção civil. Os geradores de resíduos da construção civil devem ter como objetivo prioritário a não geração de resíduos e, secundariamente, a redução, a reutilização, a reciclagem, o tratamento dos resíduos sólidos e a disposição final ambientalmente adequada dos rejeitos.</w:t>
      </w:r>
    </w:p>
    <w:p w14:paraId="21D8E5B8" w14:textId="77777777" w:rsidR="009E0300" w:rsidRPr="00A56C52" w:rsidRDefault="009E0300" w:rsidP="009E03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>Os resíduos da construção civil subdividem-se em quatro classes (art. 3° da Resolução CONAMA 307/2002):</w:t>
      </w:r>
    </w:p>
    <w:p w14:paraId="18F17BD1" w14:textId="77777777" w:rsidR="009E0300" w:rsidRPr="00A56C52" w:rsidRDefault="009E0300" w:rsidP="009E03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I - Classe A - são os resíduos reutilizáveis ou recicláveis como agregados, tais como: a) de construção, demolição, reformas e reparos de pavimentação e de outras obras de infraestrutura, inclusive solos provenientes de terraplanagem; b) de construção, </w:t>
      </w:r>
      <w:r w:rsidRPr="00A56C52">
        <w:rPr>
          <w:rFonts w:ascii="Times New Roman" w:hAnsi="Times New Roman" w:cs="Times New Roman"/>
          <w:sz w:val="24"/>
          <w:szCs w:val="24"/>
        </w:rPr>
        <w:lastRenderedPageBreak/>
        <w:t xml:space="preserve">demolição, reformas e reparos de edificações: componentes cerâmicos (tijolos, blocos, telhas, placas de revestimento etc.), argamassa e concreto; c) de processo de fabricação e/ou demolição de peças pré-moldadas em concreto (blocos, tubos, meios-fios etc.) produzidas nos canteiros de obras; </w:t>
      </w:r>
    </w:p>
    <w:p w14:paraId="0327CEB5" w14:textId="77777777" w:rsidR="009E0300" w:rsidRPr="00A56C52" w:rsidRDefault="009E0300" w:rsidP="009E03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II - Classe B - são os resíduos recicláveis para outras destinações, tais como plásticos, papel, papelão, metais, vidros, madeiras, embalagens vazias de tintas imobiliárias e gesso; (Redação dada pela Resolução nº 469/2015);  </w:t>
      </w:r>
    </w:p>
    <w:p w14:paraId="293197B3" w14:textId="77777777" w:rsidR="009E0300" w:rsidRPr="00A56C52" w:rsidRDefault="009E0300" w:rsidP="009E03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III - Classe C - são os resíduos para os quais não foram desenvolvidas tecnologias ou aplicações economicamente viáveis que permitam a sua reciclagem ou recuperação;  </w:t>
      </w:r>
    </w:p>
    <w:p w14:paraId="6E956C5E" w14:textId="77777777" w:rsidR="009E0300" w:rsidRPr="00A56C52" w:rsidRDefault="009E0300" w:rsidP="009E03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>IV - Classe D - são resíduos perigosos oriundos do processo de construção, tais como tintas, solventes, óleos e outros ou aqueles contaminados ou prejudiciais à saúde oriundos de demolições, reformas e reparos de clínicas radiológicas, instalações industriais e outros, bem como telhas e demais objetos e materiais que contenham amianto ou outros produtos nocivos à saúde.</w:t>
      </w:r>
    </w:p>
    <w:p w14:paraId="756B47C8" w14:textId="77777777" w:rsidR="009E0300" w:rsidRPr="00A56C52" w:rsidRDefault="009E0300" w:rsidP="009E03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>Como medida mitigadora aos possíveis impactos ambientais, a contratada deverá cumprir os requisitos de sustentabilidade estabelecidos neste Estudo Técnico.</w:t>
      </w:r>
    </w:p>
    <w:p w14:paraId="2FADCAC1" w14:textId="77777777" w:rsidR="009E0300" w:rsidRPr="00A56C52" w:rsidRDefault="009E0300" w:rsidP="009E03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>A Resolução CONAMA nº 307, de 05/07/2002, em seu art. 3º, § 2º, determina que “As embalagens de tintas usadas na construção civil serão submetidas a sistema de logística reversa, conforme requisitos da Lei nº 12.305/2010, que contemple a destinação ambientalmente adequados dos resíduos de tintas presentes nas embalagens”. Considerando que entre os serviços previstos na contratação constam demandas relativas à pintura, em consulta o Sistema Nacional de Informações sobre a Gestão dos Resíduos Sólidos (</w:t>
      </w:r>
      <w:hyperlink r:id="rId5" w:history="1">
        <w:r w:rsidRPr="00A56C52">
          <w:rPr>
            <w:rStyle w:val="Hyperlink"/>
            <w:rFonts w:ascii="Times New Roman" w:hAnsi="Times New Roman" w:cs="Times New Roman"/>
            <w:sz w:val="24"/>
            <w:szCs w:val="24"/>
          </w:rPr>
          <w:t>SINIR</w:t>
        </w:r>
      </w:hyperlink>
      <w:r w:rsidRPr="00A56C52">
        <w:rPr>
          <w:rFonts w:ascii="Times New Roman" w:hAnsi="Times New Roman" w:cs="Times New Roman"/>
          <w:sz w:val="24"/>
          <w:szCs w:val="24"/>
        </w:rPr>
        <w:t xml:space="preserve">), verificou-se que há </w:t>
      </w:r>
      <w:hyperlink r:id="rId6" w:history="1">
        <w:r w:rsidRPr="00A56C52">
          <w:rPr>
            <w:rStyle w:val="Hyperlink"/>
            <w:rFonts w:ascii="Times New Roman" w:hAnsi="Times New Roman" w:cs="Times New Roman"/>
            <w:sz w:val="24"/>
            <w:szCs w:val="24"/>
          </w:rPr>
          <w:t>ACORDO SETORIAL PARA IMPLANTAÇÃO DO SISTEMA DE LOGÍSTICA REVERSA DE EMBALAGENS EM GERAL</w:t>
        </w:r>
      </w:hyperlink>
      <w:r w:rsidRPr="00A56C52">
        <w:rPr>
          <w:rFonts w:ascii="Times New Roman" w:hAnsi="Times New Roman" w:cs="Times New Roman"/>
          <w:sz w:val="24"/>
          <w:szCs w:val="24"/>
        </w:rPr>
        <w:t xml:space="preserve">, o qual contempla embalagens de tinta. </w:t>
      </w:r>
    </w:p>
    <w:p w14:paraId="394814C5" w14:textId="77777777" w:rsidR="009E0300" w:rsidRPr="00A56C52" w:rsidRDefault="009E0300" w:rsidP="009E03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Nesse sentido, foi previsto nos requisitos de sustentabilidade orientação para que as contratadas façam a destinação destas embalagens em canais tradicionais de reciclagem.  </w:t>
      </w:r>
    </w:p>
    <w:p w14:paraId="1D51AE6C" w14:textId="77777777" w:rsidR="009E0300" w:rsidRDefault="009E0300"/>
    <w:sectPr w:rsidR="009E030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75811A4"/>
    <w:multiLevelType w:val="hybridMultilevel"/>
    <w:tmpl w:val="5BF4FE34"/>
    <w:lvl w:ilvl="0" w:tplc="182E0C0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DC5108"/>
    <w:multiLevelType w:val="hybridMultilevel"/>
    <w:tmpl w:val="5F8035BE"/>
    <w:lvl w:ilvl="0" w:tplc="C9D22866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0397170">
    <w:abstractNumId w:val="0"/>
  </w:num>
  <w:num w:numId="2" w16cid:durableId="16063086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bestFit"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0300"/>
    <w:rsid w:val="000E386B"/>
    <w:rsid w:val="00115135"/>
    <w:rsid w:val="001706C2"/>
    <w:rsid w:val="00342775"/>
    <w:rsid w:val="003D6347"/>
    <w:rsid w:val="009E0300"/>
    <w:rsid w:val="00A54E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92BB10"/>
  <w15:chartTrackingRefBased/>
  <w15:docId w15:val="{D8843A91-D6BC-4297-887C-A613E2845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9E0300"/>
    <w:pPr>
      <w:ind w:left="720"/>
      <w:contextualSpacing/>
    </w:pPr>
  </w:style>
  <w:style w:type="paragraph" w:customStyle="1" w:styleId="Default">
    <w:name w:val="Default"/>
    <w:rsid w:val="009E0300"/>
    <w:pPr>
      <w:autoSpaceDE w:val="0"/>
      <w:autoSpaceDN w:val="0"/>
      <w:adjustRightInd w:val="0"/>
      <w:spacing w:after="0" w:line="240" w:lineRule="auto"/>
    </w:pPr>
    <w:rPr>
      <w:rFonts w:ascii="Malgun Gothic" w:eastAsia="Malgun Gothic" w:cs="Malgun Gothic"/>
      <w:color w:val="000000"/>
      <w:kern w:val="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9E030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ortal-api.sinir.gov.br/wp-content/uploads/2022/05/Acordo_embalagens.pdf" TargetMode="External"/><Relationship Id="rId5" Type="http://schemas.openxmlformats.org/officeDocument/2006/relationships/hyperlink" Target="https://sinir.gov.br/perfis/logistica-reversa/logistica-reversa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760</Words>
  <Characters>4109</Characters>
  <Application>Microsoft Office Word</Application>
  <DocSecurity>0</DocSecurity>
  <Lines>34</Lines>
  <Paragraphs>9</Paragraphs>
  <ScaleCrop>false</ScaleCrop>
  <Company/>
  <LinksUpToDate>false</LinksUpToDate>
  <CharactersWithSpaces>4860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Prass</dc:creator>
  <cp:keywords/>
  <dc:description/>
  <cp:lastModifiedBy>Marcia Prass</cp:lastModifiedBy>
  <cp:revision>3</cp:revision>
  <dcterms:created xsi:type="dcterms:W3CDTF">2025-08-07T13:22:00Z</dcterms:created>
  <dcterms:modified xsi:type="dcterms:W3CDTF">2025-08-16T19:04:00Z</dcterms:modified>
</cp:coreProperties>
</file>