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15361D" w14:textId="77777777" w:rsidR="00382EAB" w:rsidRDefault="00382EAB" w:rsidP="00382EAB">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Pregão:</w:t>
      </w:r>
    </w:p>
    <w:p w14:paraId="09B23AE9" w14:textId="30C13B6D" w:rsidR="00382EAB" w:rsidRDefault="00382EAB" w:rsidP="00382EAB">
      <w:pPr>
        <w:pStyle w:val="PargrafodaLista"/>
        <w:numPr>
          <w:ilvl w:val="0"/>
          <w:numId w:val="1"/>
        </w:numPr>
        <w:spacing w:line="240" w:lineRule="auto"/>
        <w:jc w:val="both"/>
        <w:rPr>
          <w:rFonts w:ascii="Times New Roman" w:hAnsi="Times New Roman" w:cs="Times New Roman"/>
          <w:sz w:val="24"/>
          <w:szCs w:val="24"/>
        </w:rPr>
      </w:pPr>
      <w:r w:rsidRPr="0000517A">
        <w:rPr>
          <w:rFonts w:ascii="Times New Roman" w:hAnsi="Times New Roman" w:cs="Times New Roman"/>
          <w:sz w:val="24"/>
          <w:szCs w:val="24"/>
        </w:rPr>
        <w:t xml:space="preserve"> Aquisição de material elétrico e material de construção pela </w:t>
      </w:r>
      <w:r w:rsidR="003E19AF">
        <w:rPr>
          <w:rFonts w:ascii="Times New Roman" w:hAnsi="Times New Roman" w:cs="Times New Roman"/>
          <w:sz w:val="24"/>
          <w:szCs w:val="24"/>
        </w:rPr>
        <w:t>T</w:t>
      </w:r>
      <w:r w:rsidRPr="0000517A">
        <w:rPr>
          <w:rFonts w:ascii="Times New Roman" w:hAnsi="Times New Roman" w:cs="Times New Roman"/>
          <w:sz w:val="24"/>
          <w:szCs w:val="24"/>
        </w:rPr>
        <w:t xml:space="preserve">abela </w:t>
      </w:r>
      <w:r w:rsidR="003E19AF" w:rsidRPr="0000517A">
        <w:rPr>
          <w:rFonts w:ascii="Times New Roman" w:hAnsi="Times New Roman" w:cs="Times New Roman"/>
          <w:sz w:val="24"/>
          <w:szCs w:val="24"/>
        </w:rPr>
        <w:t>SINAPI</w:t>
      </w:r>
    </w:p>
    <w:p w14:paraId="158AADCD" w14:textId="77777777" w:rsidR="00382EAB" w:rsidRPr="0000517A" w:rsidRDefault="00382EAB" w:rsidP="00382EAB">
      <w:pPr>
        <w:pStyle w:val="PargrafodaLista"/>
        <w:spacing w:line="240" w:lineRule="auto"/>
        <w:jc w:val="both"/>
        <w:rPr>
          <w:rFonts w:ascii="Times New Roman" w:hAnsi="Times New Roman" w:cs="Times New Roman"/>
          <w:sz w:val="24"/>
          <w:szCs w:val="24"/>
        </w:rPr>
      </w:pPr>
    </w:p>
    <w:p w14:paraId="043A4AF2" w14:textId="77777777" w:rsidR="00382EAB" w:rsidRPr="0000517A" w:rsidRDefault="00382EAB" w:rsidP="00382EAB">
      <w:pPr>
        <w:spacing w:line="240" w:lineRule="auto"/>
        <w:jc w:val="both"/>
        <w:rPr>
          <w:rFonts w:ascii="Times New Roman" w:hAnsi="Times New Roman" w:cs="Times New Roman"/>
          <w:i/>
          <w:iCs/>
          <w:color w:val="2F5496" w:themeColor="accent1" w:themeShade="BF"/>
          <w:sz w:val="24"/>
          <w:szCs w:val="24"/>
        </w:rPr>
      </w:pPr>
      <w:r w:rsidRPr="0000517A">
        <w:rPr>
          <w:rFonts w:ascii="Times New Roman" w:hAnsi="Times New Roman" w:cs="Times New Roman"/>
          <w:i/>
          <w:iCs/>
          <w:color w:val="2F5496" w:themeColor="accent1" w:themeShade="BF"/>
          <w:sz w:val="24"/>
          <w:szCs w:val="24"/>
        </w:rPr>
        <w:t>Requisitos de sustentabilidade:</w:t>
      </w:r>
    </w:p>
    <w:p w14:paraId="4B59E59A" w14:textId="77777777" w:rsidR="00382EAB" w:rsidRPr="00A56C52" w:rsidRDefault="00382EAB" w:rsidP="00382EAB">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1. Só será admitida a oferta de </w:t>
      </w:r>
      <w:r w:rsidRPr="00A56C52">
        <w:rPr>
          <w:rFonts w:ascii="Times New Roman" w:hAnsi="Times New Roman" w:cs="Times New Roman"/>
          <w:b/>
          <w:bCs/>
          <w:sz w:val="24"/>
          <w:szCs w:val="24"/>
        </w:rPr>
        <w:t>lâmpada fluorescente compacta com reator integrado à base</w:t>
      </w:r>
      <w:r w:rsidRPr="00A56C52">
        <w:rPr>
          <w:rFonts w:ascii="Times New Roman" w:hAnsi="Times New Roman" w:cs="Times New Roman"/>
          <w:sz w:val="24"/>
          <w:szCs w:val="24"/>
        </w:rPr>
        <w:t xml:space="preserve"> que possua a Etiqueta Nacional de Conservação de Energia – ENCE, nos termos da Portaria INMETRO n° 17, de 14 de janeiro de 2022, que aprova os Requisitos de Avaliação da Conformidade – RAC do produto e trata da etiquetagem compulsória. </w:t>
      </w:r>
    </w:p>
    <w:p w14:paraId="52CA2DEB" w14:textId="77777777" w:rsidR="00382EAB" w:rsidRPr="00A56C52" w:rsidRDefault="00382EAB" w:rsidP="00382EAB">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1.1 Para a lâmpada fluorescente compacta com reator integrado à base, cabe registro no INMETRO, considerando a Portaria n° 258, de 6 de agosto de 2020, ou substitutiva, bem como a apresentação de Selo de identificação da conformidade nos termos da Portaria n° 17, de 14 de janeiro de 2022 </w:t>
      </w:r>
    </w:p>
    <w:p w14:paraId="31507C92" w14:textId="77777777" w:rsidR="00382EAB" w:rsidRPr="00A56C52" w:rsidRDefault="00382EAB" w:rsidP="00382EAB">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2. Só será admitida a oferta de </w:t>
      </w:r>
      <w:r w:rsidRPr="00A56C52">
        <w:rPr>
          <w:rFonts w:ascii="Times New Roman" w:hAnsi="Times New Roman" w:cs="Times New Roman"/>
          <w:b/>
          <w:bCs/>
          <w:sz w:val="24"/>
          <w:szCs w:val="24"/>
        </w:rPr>
        <w:t>lâmpada de LED com dispositivo de controle integrado à base</w:t>
      </w:r>
      <w:r w:rsidRPr="00A56C52">
        <w:rPr>
          <w:rFonts w:ascii="Times New Roman" w:hAnsi="Times New Roman" w:cs="Times New Roman"/>
          <w:sz w:val="24"/>
          <w:szCs w:val="24"/>
        </w:rPr>
        <w:t xml:space="preserve"> que possua a Etiqueta Nacional de Conservação de Energia – ENCE, nos termos da Portaria INMETRO n° 69, de 16 de fevereiro de 2022, que aprova os Requisitos de Avaliação da Conformidade – RAC do produto e trata da etiquetagem compulsória. </w:t>
      </w:r>
    </w:p>
    <w:p w14:paraId="77C7AB9A" w14:textId="77777777" w:rsidR="00382EAB" w:rsidRPr="00A56C52" w:rsidRDefault="00382EAB" w:rsidP="00382EAB">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2.1 Para a lâmpada de LED com dispositivo de controle integrado à base, cabe registro no INMETRO, considerando a Portaria n° 258, de 6 de agosto de 2020, ou substitutiva, bem como a apresentação de Selo de identificação da conformidade nos termos da Portaria n° 69, de 16 de fevereiro de 2022. </w:t>
      </w:r>
    </w:p>
    <w:p w14:paraId="420F267C" w14:textId="6B797CF3" w:rsidR="00382EAB" w:rsidRPr="00A56C52" w:rsidRDefault="00382EAB" w:rsidP="00382EAB">
      <w:pPr>
        <w:pStyle w:val="Default"/>
        <w:jc w:val="both"/>
        <w:rPr>
          <w:rFonts w:ascii="Times New Roman" w:eastAsiaTheme="minorHAnsi" w:hAnsi="Times New Roman" w:cs="Times New Roman"/>
        </w:rPr>
      </w:pPr>
      <w:r w:rsidRPr="00A56C52">
        <w:rPr>
          <w:rFonts w:ascii="Times New Roman" w:eastAsiaTheme="minorHAnsi" w:hAnsi="Times New Roman" w:cs="Times New Roman"/>
          <w:color w:val="auto"/>
          <w:kern w:val="2"/>
        </w:rPr>
        <w:t>3. Para os itens</w:t>
      </w:r>
      <w:r w:rsidR="001D6324">
        <w:rPr>
          <w:rFonts w:ascii="Times New Roman" w:eastAsiaTheme="minorHAnsi" w:hAnsi="Times New Roman" w:cs="Times New Roman"/>
          <w:color w:val="auto"/>
          <w:kern w:val="2"/>
        </w:rPr>
        <w:t xml:space="preserve"> (especificar os itens)</w:t>
      </w:r>
      <w:r w:rsidRPr="00A56C52">
        <w:rPr>
          <w:rFonts w:ascii="Times New Roman" w:eastAsiaTheme="minorHAnsi" w:hAnsi="Times New Roman" w:cs="Times New Roman"/>
          <w:color w:val="auto"/>
          <w:kern w:val="2"/>
        </w:rPr>
        <w:t xml:space="preserve"> cuja atividade de fabricação ou industrialização é enquadrada no Anexo I da Instrução Normativa IBAMA n° 13/2021, só será admitida a oferta de produto cujo fabricante esteja regularmente registrado no Cadastro Técnico Federal de Atividades Potencialmente Poluidoras ou Utilizadoras de Recursos Ambientais, instituído pelo artigo 17, inciso II, da Lei n° 6.938, de 1981. (</w:t>
      </w:r>
      <w:r w:rsidR="00626CB5">
        <w:rPr>
          <w:rFonts w:ascii="Times New Roman" w:eastAsiaTheme="minorHAnsi" w:hAnsi="Times New Roman" w:cs="Times New Roman"/>
        </w:rPr>
        <w:t>Ver:</w:t>
      </w:r>
      <w:r w:rsidRPr="00A56C52">
        <w:rPr>
          <w:rFonts w:ascii="Times New Roman" w:eastAsiaTheme="minorHAnsi" w:hAnsi="Times New Roman" w:cs="Times New Roman"/>
        </w:rPr>
        <w:t xml:space="preserve"> </w:t>
      </w:r>
      <w:hyperlink r:id="rId5" w:history="1">
        <w:r w:rsidR="00F6576E">
          <w:rPr>
            <w:rStyle w:val="Hyperlink"/>
            <w:rFonts w:ascii="Times New Roman" w:hAnsi="Times New Roman" w:cs="Times New Roman"/>
          </w:rPr>
          <w:t>Fichas Técnicas de Enquadramento - IBAMA</w:t>
        </w:r>
      </w:hyperlink>
      <w:r w:rsidRPr="00A56C52">
        <w:rPr>
          <w:rFonts w:ascii="Times New Roman" w:eastAsiaTheme="minorHAnsi" w:hAnsi="Times New Roman" w:cs="Times New Roman"/>
        </w:rPr>
        <w:t>)</w:t>
      </w:r>
    </w:p>
    <w:p w14:paraId="5A44407B" w14:textId="77777777" w:rsidR="00382EAB" w:rsidRPr="00A56C52" w:rsidRDefault="00382EAB" w:rsidP="00382EAB">
      <w:pPr>
        <w:pStyle w:val="Default"/>
        <w:jc w:val="both"/>
        <w:rPr>
          <w:rFonts w:ascii="Times New Roman" w:eastAsiaTheme="minorHAnsi" w:hAnsi="Times New Roman" w:cs="Times New Roman"/>
        </w:rPr>
      </w:pPr>
    </w:p>
    <w:p w14:paraId="3831AF39" w14:textId="77777777" w:rsidR="00C72A38" w:rsidRDefault="00382EAB" w:rsidP="00382EAB">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3.1 Para os itens enquadrados no Anexo I da Instrução Normativa IBAMA n° 13/2021 o </w:t>
      </w:r>
      <w:r w:rsidRPr="00A56C52">
        <w:rPr>
          <w:rFonts w:ascii="Times New Roman" w:hAnsi="Times New Roman" w:cs="Times New Roman"/>
          <w:i/>
          <w:iCs/>
          <w:sz w:val="24"/>
          <w:szCs w:val="24"/>
        </w:rPr>
        <w:t>fiscal do contrato</w:t>
      </w:r>
      <w:r w:rsidRPr="00A56C52">
        <w:rPr>
          <w:rFonts w:ascii="Times New Roman" w:hAnsi="Times New Roman" w:cs="Times New Roman"/>
          <w:sz w:val="24"/>
          <w:szCs w:val="24"/>
        </w:rPr>
        <w:t xml:space="preserve"> solicitará à </w:t>
      </w:r>
      <w:r w:rsidRPr="00A56C52">
        <w:rPr>
          <w:rFonts w:ascii="Times New Roman" w:hAnsi="Times New Roman" w:cs="Times New Roman"/>
          <w:i/>
          <w:iCs/>
          <w:sz w:val="24"/>
          <w:szCs w:val="24"/>
        </w:rPr>
        <w:t>contratada</w:t>
      </w:r>
      <w:r w:rsidRPr="00A56C52">
        <w:rPr>
          <w:rFonts w:ascii="Times New Roman" w:hAnsi="Times New Roman" w:cs="Times New Roman"/>
          <w:sz w:val="24"/>
          <w:szCs w:val="24"/>
        </w:rPr>
        <w:t xml:space="preserve"> que apresente, sob pena de não-aceitação, o Comprovante de Registro do fabricante do produto no Cadastro Técnico Federal de Atividades Potencialmente Poluidoras ou Utilizadoras de Recursos Ambientais, acompanhado do respectivo Certificado de Regularidade válido, nos termos do artigo 17, inciso II, da Lei n° 6.938, de 1981, e da Instrução Normativa IBAMA n° 13/2021 e normas supervenientes. </w:t>
      </w:r>
    </w:p>
    <w:p w14:paraId="076A9BEF" w14:textId="26E46FBB" w:rsidR="00382EAB" w:rsidRDefault="00C72A38" w:rsidP="00382EAB">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382EAB" w:rsidRPr="00A56C52">
        <w:rPr>
          <w:rFonts w:ascii="Times New Roman" w:hAnsi="Times New Roman" w:cs="Times New Roman"/>
          <w:sz w:val="24"/>
          <w:szCs w:val="24"/>
        </w:rPr>
        <w:t>A apresentação do Certificado de Regularidade será dispensada, caso o fiscal logre êxito em obtê-lo mediante consulta on line ao sítio oficial do IBAMA, anexando-o ao processo</w:t>
      </w:r>
      <w:r w:rsidR="007F7BAA">
        <w:rPr>
          <w:rFonts w:ascii="Times New Roman" w:hAnsi="Times New Roman" w:cs="Times New Roman"/>
          <w:sz w:val="24"/>
          <w:szCs w:val="24"/>
        </w:rPr>
        <w:t xml:space="preserve"> </w:t>
      </w:r>
      <w:r w:rsidR="00F6576E">
        <w:rPr>
          <w:rFonts w:ascii="Times New Roman" w:hAnsi="Times New Roman" w:cs="Times New Roman"/>
          <w:sz w:val="24"/>
          <w:szCs w:val="24"/>
        </w:rPr>
        <w:t>(</w:t>
      </w:r>
      <w:hyperlink r:id="rId6" w:history="1">
        <w:r w:rsidR="007F7BAA" w:rsidRPr="007F7BAA">
          <w:rPr>
            <w:rStyle w:val="Hyperlink"/>
            <w:rFonts w:ascii="Times New Roman" w:hAnsi="Times New Roman" w:cs="Times New Roman"/>
            <w:sz w:val="24"/>
            <w:szCs w:val="24"/>
          </w:rPr>
          <w:t>IBAMA - Serviços On-Line - Certificado de Regularidade</w:t>
        </w:r>
      </w:hyperlink>
      <w:r w:rsidR="007F7BAA">
        <w:rPr>
          <w:rFonts w:ascii="Times New Roman" w:hAnsi="Times New Roman" w:cs="Times New Roman"/>
          <w:sz w:val="24"/>
          <w:szCs w:val="24"/>
        </w:rPr>
        <w:t>)</w:t>
      </w:r>
      <w:r w:rsidR="00382EAB" w:rsidRPr="00A56C52">
        <w:rPr>
          <w:rFonts w:ascii="Times New Roman" w:hAnsi="Times New Roman" w:cs="Times New Roman"/>
          <w:sz w:val="24"/>
          <w:szCs w:val="24"/>
        </w:rPr>
        <w:t>.</w:t>
      </w:r>
    </w:p>
    <w:p w14:paraId="6239F3EB" w14:textId="005E69CD" w:rsidR="007E22F9" w:rsidRDefault="007E22F9" w:rsidP="00B74858">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2F1B08">
        <w:rPr>
          <w:rFonts w:ascii="Times New Roman" w:hAnsi="Times New Roman" w:cs="Times New Roman"/>
          <w:sz w:val="24"/>
          <w:szCs w:val="24"/>
        </w:rPr>
        <w:t xml:space="preserve">Só será admitida a oferta de </w:t>
      </w:r>
      <w:r w:rsidR="002F1B08" w:rsidRPr="00B74858">
        <w:rPr>
          <w:rFonts w:ascii="Times New Roman" w:hAnsi="Times New Roman" w:cs="Times New Roman"/>
          <w:b/>
          <w:bCs/>
          <w:sz w:val="24"/>
          <w:szCs w:val="24"/>
        </w:rPr>
        <w:t>materiais de pintura (tintas e solventes)</w:t>
      </w:r>
      <w:r w:rsidR="002F1B08">
        <w:rPr>
          <w:rFonts w:ascii="Times New Roman" w:hAnsi="Times New Roman" w:cs="Times New Roman"/>
          <w:sz w:val="24"/>
          <w:szCs w:val="24"/>
        </w:rPr>
        <w:t xml:space="preserve"> que </w:t>
      </w:r>
      <w:r w:rsidR="00B74858">
        <w:rPr>
          <w:rFonts w:ascii="Times New Roman" w:hAnsi="Times New Roman" w:cs="Times New Roman"/>
          <w:sz w:val="24"/>
          <w:szCs w:val="24"/>
        </w:rPr>
        <w:t>com a</w:t>
      </w:r>
      <w:r w:rsidR="00B74858" w:rsidRPr="00B74858">
        <w:rPr>
          <w:rFonts w:ascii="Times New Roman" w:hAnsi="Times New Roman" w:cs="Times New Roman"/>
          <w:sz w:val="24"/>
          <w:szCs w:val="24"/>
        </w:rPr>
        <w:t xml:space="preserve"> apresentação da FISPQ (Ficha de Informações</w:t>
      </w:r>
      <w:r w:rsidR="00B74858" w:rsidRPr="00B74858">
        <w:rPr>
          <w:rFonts w:ascii="Times New Roman" w:hAnsi="Times New Roman" w:cs="Times New Roman"/>
          <w:sz w:val="24"/>
          <w:szCs w:val="24"/>
        </w:rPr>
        <w:t xml:space="preserve"> </w:t>
      </w:r>
      <w:r w:rsidR="00B74858" w:rsidRPr="00B74858">
        <w:rPr>
          <w:rFonts w:ascii="Times New Roman" w:hAnsi="Times New Roman" w:cs="Times New Roman"/>
          <w:sz w:val="24"/>
          <w:szCs w:val="24"/>
        </w:rPr>
        <w:t>de Segurança do Produto Químico), no momento da entrega dos</w:t>
      </w:r>
      <w:r w:rsidR="00B74858" w:rsidRPr="00B74858">
        <w:rPr>
          <w:rFonts w:ascii="Times New Roman" w:hAnsi="Times New Roman" w:cs="Times New Roman"/>
          <w:sz w:val="24"/>
          <w:szCs w:val="24"/>
        </w:rPr>
        <w:t xml:space="preserve"> </w:t>
      </w:r>
      <w:r w:rsidR="00B74858" w:rsidRPr="00B74858">
        <w:rPr>
          <w:rFonts w:ascii="Times New Roman" w:hAnsi="Times New Roman" w:cs="Times New Roman"/>
          <w:sz w:val="24"/>
          <w:szCs w:val="24"/>
        </w:rPr>
        <w:t>produtos químicos, sem a qual não poderão ser recebidos.</w:t>
      </w:r>
      <w:r w:rsidR="00B74858">
        <w:rPr>
          <w:rFonts w:ascii="Times New Roman" w:hAnsi="Times New Roman" w:cs="Times New Roman"/>
          <w:sz w:val="24"/>
          <w:szCs w:val="24"/>
        </w:rPr>
        <w:t xml:space="preserve"> </w:t>
      </w:r>
      <w:r w:rsidR="00B74858" w:rsidRPr="00B74858">
        <w:rPr>
          <w:rFonts w:ascii="Times New Roman" w:hAnsi="Times New Roman" w:cs="Times New Roman"/>
          <w:sz w:val="24"/>
          <w:szCs w:val="24"/>
        </w:rPr>
        <w:t>As fichas deverão ser elaboradas de acordo com a Norma ABNT NBR</w:t>
      </w:r>
      <w:r w:rsidR="00B74858">
        <w:rPr>
          <w:rFonts w:ascii="Times New Roman" w:hAnsi="Times New Roman" w:cs="Times New Roman"/>
          <w:sz w:val="24"/>
          <w:szCs w:val="24"/>
        </w:rPr>
        <w:t xml:space="preserve"> </w:t>
      </w:r>
      <w:r w:rsidR="00B74858" w:rsidRPr="00B74858">
        <w:rPr>
          <w:rFonts w:ascii="Times New Roman" w:hAnsi="Times New Roman" w:cs="Times New Roman"/>
          <w:sz w:val="24"/>
          <w:szCs w:val="24"/>
        </w:rPr>
        <w:t>14725-4:2014, sendo que, qualquer divergência encontrada nas fichas</w:t>
      </w:r>
      <w:r w:rsidR="00B74858">
        <w:rPr>
          <w:rFonts w:ascii="Times New Roman" w:hAnsi="Times New Roman" w:cs="Times New Roman"/>
          <w:sz w:val="24"/>
          <w:szCs w:val="24"/>
        </w:rPr>
        <w:t xml:space="preserve"> </w:t>
      </w:r>
      <w:r w:rsidR="00B74858" w:rsidRPr="00B74858">
        <w:rPr>
          <w:rFonts w:ascii="Times New Roman" w:hAnsi="Times New Roman" w:cs="Times New Roman"/>
          <w:sz w:val="24"/>
          <w:szCs w:val="24"/>
        </w:rPr>
        <w:t>de informação referente à identificação (número CAS) das substâncias</w:t>
      </w:r>
      <w:r w:rsidR="00B74858">
        <w:rPr>
          <w:rFonts w:ascii="Times New Roman" w:hAnsi="Times New Roman" w:cs="Times New Roman"/>
          <w:sz w:val="24"/>
          <w:szCs w:val="24"/>
        </w:rPr>
        <w:t xml:space="preserve"> </w:t>
      </w:r>
      <w:r w:rsidR="00B74858" w:rsidRPr="00B74858">
        <w:rPr>
          <w:rFonts w:ascii="Times New Roman" w:hAnsi="Times New Roman" w:cs="Times New Roman"/>
          <w:sz w:val="24"/>
          <w:szCs w:val="24"/>
        </w:rPr>
        <w:t>contidas na composição do produto que possam levar a erro de</w:t>
      </w:r>
      <w:r w:rsidR="00B74858">
        <w:rPr>
          <w:rFonts w:ascii="Times New Roman" w:hAnsi="Times New Roman" w:cs="Times New Roman"/>
          <w:sz w:val="24"/>
          <w:szCs w:val="24"/>
        </w:rPr>
        <w:t xml:space="preserve"> </w:t>
      </w:r>
      <w:r w:rsidR="00B74858" w:rsidRPr="00B74858">
        <w:rPr>
          <w:rFonts w:ascii="Times New Roman" w:hAnsi="Times New Roman" w:cs="Times New Roman"/>
          <w:sz w:val="24"/>
          <w:szCs w:val="24"/>
        </w:rPr>
        <w:t>avaliação quanto ao seu risco, poderá ser motivo de recusa.</w:t>
      </w:r>
    </w:p>
    <w:p w14:paraId="3D960D72" w14:textId="18BE735D" w:rsidR="00B74858" w:rsidRDefault="00F36C70" w:rsidP="00F83161">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5. </w:t>
      </w:r>
      <w:r w:rsidR="0040782A">
        <w:rPr>
          <w:rFonts w:ascii="Times New Roman" w:hAnsi="Times New Roman" w:cs="Times New Roman"/>
          <w:sz w:val="24"/>
          <w:szCs w:val="24"/>
        </w:rPr>
        <w:t xml:space="preserve">Para </w:t>
      </w:r>
      <w:r w:rsidR="0040782A" w:rsidRPr="00F83161">
        <w:rPr>
          <w:rFonts w:ascii="Times New Roman" w:hAnsi="Times New Roman" w:cs="Times New Roman"/>
          <w:b/>
          <w:bCs/>
          <w:sz w:val="24"/>
          <w:szCs w:val="24"/>
        </w:rPr>
        <w:t>solventes e aerossóis</w:t>
      </w:r>
      <w:r w:rsidR="0040782A">
        <w:rPr>
          <w:rFonts w:ascii="Times New Roman" w:hAnsi="Times New Roman" w:cs="Times New Roman"/>
          <w:sz w:val="24"/>
          <w:szCs w:val="24"/>
        </w:rPr>
        <w:t xml:space="preserve">: </w:t>
      </w:r>
      <w:r w:rsidR="00F83161" w:rsidRPr="00F83161">
        <w:rPr>
          <w:rFonts w:ascii="Times New Roman" w:hAnsi="Times New Roman" w:cs="Times New Roman"/>
          <w:sz w:val="24"/>
          <w:szCs w:val="24"/>
        </w:rPr>
        <w:t>Nos termos do Decreto n° 2.783, de</w:t>
      </w:r>
      <w:r w:rsidR="00F83161">
        <w:rPr>
          <w:rFonts w:ascii="Times New Roman" w:hAnsi="Times New Roman" w:cs="Times New Roman"/>
          <w:sz w:val="24"/>
          <w:szCs w:val="24"/>
        </w:rPr>
        <w:t xml:space="preserve"> </w:t>
      </w:r>
      <w:r w:rsidR="00F83161" w:rsidRPr="00F83161">
        <w:rPr>
          <w:rFonts w:ascii="Times New Roman" w:hAnsi="Times New Roman" w:cs="Times New Roman"/>
          <w:sz w:val="24"/>
          <w:szCs w:val="24"/>
        </w:rPr>
        <w:t>1998, e Resolução CONAMA n° 267, de 14/11/2000, é vedada a oferta</w:t>
      </w:r>
      <w:r w:rsidR="00F83161">
        <w:rPr>
          <w:rFonts w:ascii="Times New Roman" w:hAnsi="Times New Roman" w:cs="Times New Roman"/>
          <w:sz w:val="24"/>
          <w:szCs w:val="24"/>
        </w:rPr>
        <w:t xml:space="preserve"> </w:t>
      </w:r>
      <w:r w:rsidR="00F83161" w:rsidRPr="00F83161">
        <w:rPr>
          <w:rFonts w:ascii="Times New Roman" w:hAnsi="Times New Roman" w:cs="Times New Roman"/>
          <w:sz w:val="24"/>
          <w:szCs w:val="24"/>
        </w:rPr>
        <w:t>de produto ou equipamento que contenha ou faça uso de qualquer das</w:t>
      </w:r>
      <w:r w:rsidR="00F83161">
        <w:rPr>
          <w:rFonts w:ascii="Times New Roman" w:hAnsi="Times New Roman" w:cs="Times New Roman"/>
          <w:sz w:val="24"/>
          <w:szCs w:val="24"/>
        </w:rPr>
        <w:t xml:space="preserve"> </w:t>
      </w:r>
      <w:r w:rsidR="00F83161" w:rsidRPr="00F83161">
        <w:rPr>
          <w:rFonts w:ascii="Times New Roman" w:hAnsi="Times New Roman" w:cs="Times New Roman"/>
          <w:sz w:val="24"/>
          <w:szCs w:val="24"/>
        </w:rPr>
        <w:t>Substâncias que Destroem a Camada de Ozônio – SDO abrangidas</w:t>
      </w:r>
      <w:r w:rsidR="00F83161">
        <w:rPr>
          <w:rFonts w:ascii="Times New Roman" w:hAnsi="Times New Roman" w:cs="Times New Roman"/>
          <w:sz w:val="24"/>
          <w:szCs w:val="24"/>
        </w:rPr>
        <w:t xml:space="preserve"> </w:t>
      </w:r>
      <w:r w:rsidR="00F83161" w:rsidRPr="00F83161">
        <w:rPr>
          <w:rFonts w:ascii="Times New Roman" w:hAnsi="Times New Roman" w:cs="Times New Roman"/>
          <w:sz w:val="24"/>
          <w:szCs w:val="24"/>
        </w:rPr>
        <w:t>pelo Protocolo de Montreal.</w:t>
      </w:r>
    </w:p>
    <w:p w14:paraId="5DE31456" w14:textId="31F186CC" w:rsidR="000E220A" w:rsidRDefault="000E220A" w:rsidP="000E220A">
      <w:pPr>
        <w:pStyle w:val="Default"/>
        <w:jc w:val="both"/>
        <w:rPr>
          <w:rFonts w:ascii="Times New Roman" w:eastAsiaTheme="minorHAnsi" w:hAnsi="Times New Roman" w:cs="Times New Roman"/>
          <w:color w:val="auto"/>
          <w:kern w:val="2"/>
        </w:rPr>
      </w:pPr>
      <w:r w:rsidRPr="000E220A">
        <w:rPr>
          <w:rFonts w:ascii="Times New Roman" w:eastAsiaTheme="minorHAnsi" w:hAnsi="Times New Roman" w:cs="Times New Roman"/>
          <w:color w:val="auto"/>
          <w:kern w:val="2"/>
        </w:rPr>
        <w:t xml:space="preserve">6. </w:t>
      </w:r>
      <w:r w:rsidR="00642935">
        <w:rPr>
          <w:rFonts w:ascii="Times New Roman" w:eastAsiaTheme="minorHAnsi" w:hAnsi="Times New Roman" w:cs="Times New Roman"/>
          <w:color w:val="auto"/>
          <w:kern w:val="2"/>
        </w:rPr>
        <w:t xml:space="preserve">Para </w:t>
      </w:r>
      <w:r w:rsidR="00642935" w:rsidRPr="00642935">
        <w:rPr>
          <w:rFonts w:ascii="Times New Roman" w:eastAsiaTheme="minorHAnsi" w:hAnsi="Times New Roman" w:cs="Times New Roman"/>
          <w:b/>
          <w:bCs/>
          <w:color w:val="auto"/>
          <w:kern w:val="2"/>
        </w:rPr>
        <w:t>madeiras e produtos florestais</w:t>
      </w:r>
      <w:r w:rsidR="00BE3040">
        <w:rPr>
          <w:rFonts w:ascii="Times New Roman" w:eastAsiaTheme="minorHAnsi" w:hAnsi="Times New Roman" w:cs="Times New Roman"/>
          <w:b/>
          <w:bCs/>
          <w:color w:val="auto"/>
          <w:kern w:val="2"/>
        </w:rPr>
        <w:t xml:space="preserve"> processados</w:t>
      </w:r>
      <w:r w:rsidR="00642935">
        <w:rPr>
          <w:rFonts w:ascii="Times New Roman" w:eastAsiaTheme="minorHAnsi" w:hAnsi="Times New Roman" w:cs="Times New Roman"/>
          <w:color w:val="auto"/>
          <w:kern w:val="2"/>
        </w:rPr>
        <w:t xml:space="preserve">: </w:t>
      </w:r>
      <w:r w:rsidRPr="000E220A">
        <w:rPr>
          <w:rFonts w:ascii="Times New Roman" w:eastAsiaTheme="minorHAnsi" w:hAnsi="Times New Roman" w:cs="Times New Roman"/>
          <w:color w:val="auto"/>
          <w:kern w:val="2"/>
        </w:rPr>
        <w:t xml:space="preserve">Somente será admitida a oferta de produto cuja origem seja comprovadamente legal, nos termos da legislação vigente, mediante a apresentação de Cópia dos Comprovantes do Documento de Origem Florestal ou de autorização no Sistema Nacional de Controle da Origem dos Produtos Florestais – Sinaflor. </w:t>
      </w:r>
    </w:p>
    <w:p w14:paraId="1D951388" w14:textId="77777777" w:rsidR="00BE3040" w:rsidRPr="000E220A" w:rsidRDefault="00BE3040" w:rsidP="000E220A">
      <w:pPr>
        <w:pStyle w:val="Default"/>
        <w:jc w:val="both"/>
        <w:rPr>
          <w:rFonts w:ascii="Times New Roman" w:eastAsiaTheme="minorHAnsi" w:hAnsi="Times New Roman" w:cs="Times New Roman"/>
          <w:color w:val="auto"/>
          <w:kern w:val="2"/>
        </w:rPr>
      </w:pPr>
    </w:p>
    <w:p w14:paraId="3DB2FA85" w14:textId="5C9365F3" w:rsidR="00F83161" w:rsidRDefault="000E220A" w:rsidP="00F83161">
      <w:pPr>
        <w:spacing w:line="240" w:lineRule="auto"/>
        <w:jc w:val="both"/>
        <w:rPr>
          <w:rFonts w:ascii="Times New Roman" w:hAnsi="Times New Roman" w:cs="Times New Roman"/>
          <w:sz w:val="24"/>
          <w:szCs w:val="24"/>
        </w:rPr>
      </w:pPr>
      <w:r w:rsidRPr="000E220A">
        <w:rPr>
          <w:rFonts w:ascii="Times New Roman" w:hAnsi="Times New Roman" w:cs="Times New Roman"/>
          <w:sz w:val="24"/>
          <w:szCs w:val="24"/>
        </w:rPr>
        <w:t xml:space="preserve">a.1) Caso os produtos ou subprodutos florestais a serem fornecidos tenham origem em Estado que possua documento de controle próprio, a Contratada deverá apresentá-lo, em complementação ao DOF, para fins de demonstrar a regularidade do transporte e armazenamento nos limites do território estadual </w:t>
      </w:r>
    </w:p>
    <w:p w14:paraId="115C2A95" w14:textId="77777777" w:rsidR="00F0395E" w:rsidRPr="00A56C52" w:rsidRDefault="00F0395E" w:rsidP="00382EAB">
      <w:pPr>
        <w:spacing w:line="240" w:lineRule="auto"/>
        <w:jc w:val="both"/>
        <w:rPr>
          <w:rFonts w:ascii="Times New Roman" w:hAnsi="Times New Roman" w:cs="Times New Roman"/>
          <w:sz w:val="24"/>
          <w:szCs w:val="24"/>
        </w:rPr>
      </w:pPr>
    </w:p>
    <w:p w14:paraId="1FECCCDC" w14:textId="77777777" w:rsidR="00382EAB" w:rsidRPr="00A56C52" w:rsidRDefault="00382EAB" w:rsidP="00382EAB">
      <w:pPr>
        <w:spacing w:line="240" w:lineRule="auto"/>
        <w:jc w:val="both"/>
        <w:rPr>
          <w:rFonts w:ascii="Times New Roman" w:hAnsi="Times New Roman" w:cs="Times New Roman"/>
          <w:b/>
          <w:bCs/>
          <w:sz w:val="24"/>
          <w:szCs w:val="24"/>
        </w:rPr>
      </w:pPr>
      <w:r w:rsidRPr="00A56C52">
        <w:rPr>
          <w:rFonts w:ascii="Times New Roman" w:hAnsi="Times New Roman" w:cs="Times New Roman"/>
          <w:b/>
          <w:bCs/>
          <w:sz w:val="24"/>
          <w:szCs w:val="24"/>
        </w:rPr>
        <w:t xml:space="preserve">Inserir no item de obrigações da contratada: </w:t>
      </w:r>
    </w:p>
    <w:p w14:paraId="5A7BCDC4" w14:textId="77777777" w:rsidR="00382EAB" w:rsidRPr="00A56C52" w:rsidRDefault="00382EAB" w:rsidP="00382EAB">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Itens 1 e 2.</w:t>
      </w:r>
      <w:r w:rsidRPr="00A56C52">
        <w:rPr>
          <w:rFonts w:ascii="Times New Roman" w:hAnsi="Times New Roman" w:cs="Times New Roman"/>
          <w:sz w:val="24"/>
          <w:szCs w:val="24"/>
        </w:rPr>
        <w:t xml:space="preserve"> A contratada deverá providenciar o recolhimento e o adequado descarte das lâmpadas fluorescentes de Vapor de Sódio e Mercúrio e de Luz Mista originárias da contratação, recolhendo-as ao sistema de coleta montado pelo respectivo fabricante, distribuidor, importador, comerciante ou revendedor, para fins de sua destinação final ambientalmente adequada, conforme artigo 33, inciso V, da Lei n° 12.305, de 2010 – Política Nacional de Resíduos Sólidos, art. 14 do Decreto nº 10.936/2022, e legislação correlata.” </w:t>
      </w:r>
    </w:p>
    <w:p w14:paraId="5A91BABC" w14:textId="77777777" w:rsidR="00382EAB" w:rsidRPr="00A56C52" w:rsidRDefault="00382EAB" w:rsidP="00382EAB">
      <w:pPr>
        <w:pStyle w:val="Default"/>
        <w:jc w:val="both"/>
        <w:rPr>
          <w:rFonts w:ascii="Times New Roman" w:hAnsi="Times New Roman" w:cs="Times New Roman"/>
          <w:i/>
          <w:iCs/>
          <w:color w:val="auto"/>
          <w:kern w:val="2"/>
        </w:rPr>
      </w:pPr>
      <w:r w:rsidRPr="00A56C52">
        <w:rPr>
          <w:rFonts w:ascii="Times New Roman" w:hAnsi="Times New Roman" w:cs="Times New Roman"/>
          <w:color w:val="auto"/>
          <w:kern w:val="2"/>
        </w:rPr>
        <w:t xml:space="preserve"> </w:t>
      </w:r>
      <w:r w:rsidRPr="00A56C52">
        <w:rPr>
          <w:rFonts w:ascii="Times New Roman" w:eastAsiaTheme="minorHAnsi" w:hAnsi="Times New Roman" w:cs="Times New Roman"/>
          <w:i/>
          <w:iCs/>
          <w:color w:val="auto"/>
          <w:kern w:val="2"/>
        </w:rPr>
        <w:t xml:space="preserve">OBS: </w:t>
      </w:r>
      <w:r w:rsidRPr="00A56C52">
        <w:rPr>
          <w:rFonts w:ascii="Times New Roman" w:hAnsi="Times New Roman" w:cs="Times New Roman"/>
          <w:i/>
          <w:iCs/>
          <w:color w:val="auto"/>
          <w:kern w:val="2"/>
        </w:rPr>
        <w:t xml:space="preserve">Se a Administração, nos casos de aquisição, verificar na fase de planejamento que a obrigação de imputar à contratada a destinação ambiental adequada da lâmpada for implicar em fator de restrição à competitividade ou custo desarrazoável, deverá, em estudo técnico preliminar, avaliar e motivar administrativamente a não inclusão da obrigação, desde que haja a assunção pela Administração da responsabilidade pela destinação ambiental adequada das lâmpadas. </w:t>
      </w:r>
    </w:p>
    <w:p w14:paraId="23B592AB" w14:textId="77777777" w:rsidR="00382EAB" w:rsidRPr="00A56C52" w:rsidRDefault="00382EAB" w:rsidP="00382EAB">
      <w:pPr>
        <w:pStyle w:val="Default"/>
        <w:jc w:val="both"/>
        <w:rPr>
          <w:rFonts w:ascii="Times New Roman" w:eastAsiaTheme="minorHAnsi" w:hAnsi="Times New Roman" w:cs="Times New Roman"/>
        </w:rPr>
      </w:pPr>
    </w:p>
    <w:p w14:paraId="07C871D5" w14:textId="77777777" w:rsidR="00382EAB" w:rsidRPr="00A56C52" w:rsidRDefault="00382EAB" w:rsidP="00382EAB">
      <w:pPr>
        <w:pStyle w:val="Default"/>
        <w:jc w:val="both"/>
        <w:rPr>
          <w:rFonts w:ascii="Times New Roman" w:eastAsiaTheme="minorHAnsi" w:hAnsi="Times New Roman" w:cs="Times New Roman"/>
        </w:rPr>
      </w:pPr>
    </w:p>
    <w:p w14:paraId="2FC3A556" w14:textId="77777777" w:rsidR="00382EAB" w:rsidRPr="00BF2470" w:rsidRDefault="00382EAB" w:rsidP="00382EAB">
      <w:pPr>
        <w:spacing w:line="240" w:lineRule="auto"/>
        <w:jc w:val="both"/>
        <w:rPr>
          <w:rFonts w:ascii="Times New Roman" w:hAnsi="Times New Roman" w:cs="Times New Roman"/>
          <w:color w:val="2F5496" w:themeColor="accent1" w:themeShade="BF"/>
          <w:sz w:val="24"/>
          <w:szCs w:val="24"/>
        </w:rPr>
      </w:pPr>
      <w:r w:rsidRPr="00BF2470">
        <w:rPr>
          <w:rFonts w:ascii="Times New Roman" w:hAnsi="Times New Roman" w:cs="Times New Roman"/>
          <w:i/>
          <w:iCs/>
          <w:color w:val="2F5496" w:themeColor="accent1" w:themeShade="BF"/>
          <w:sz w:val="24"/>
          <w:szCs w:val="24"/>
        </w:rPr>
        <w:t>Possíveis impactos ambientais:</w:t>
      </w:r>
    </w:p>
    <w:p w14:paraId="7FAAAD7A" w14:textId="77777777" w:rsidR="00382EAB" w:rsidRPr="00A56C52" w:rsidRDefault="00382EAB" w:rsidP="00382EAB">
      <w:pPr>
        <w:pStyle w:val="Default"/>
        <w:jc w:val="both"/>
        <w:rPr>
          <w:rFonts w:ascii="Times New Roman" w:eastAsiaTheme="minorHAnsi" w:hAnsi="Times New Roman" w:cs="Times New Roman"/>
          <w:color w:val="auto"/>
          <w:kern w:val="2"/>
        </w:rPr>
      </w:pPr>
    </w:p>
    <w:p w14:paraId="51CE2E56" w14:textId="77777777" w:rsidR="00382EAB" w:rsidRPr="00A56C52" w:rsidRDefault="00382EAB" w:rsidP="00382EAB">
      <w:pPr>
        <w:pStyle w:val="Default"/>
        <w:jc w:val="both"/>
        <w:rPr>
          <w:rFonts w:ascii="Times New Roman" w:eastAsiaTheme="minorHAnsi" w:hAnsi="Times New Roman" w:cs="Times New Roman"/>
          <w:color w:val="auto"/>
          <w:kern w:val="2"/>
        </w:rPr>
      </w:pPr>
      <w:r w:rsidRPr="00A56C52">
        <w:rPr>
          <w:rFonts w:ascii="Times New Roman" w:eastAsiaTheme="minorHAnsi" w:hAnsi="Times New Roman" w:cs="Times New Roman"/>
          <w:color w:val="auto"/>
          <w:kern w:val="2"/>
        </w:rPr>
        <w:t>A aquisição em si não gera impactos ambientais diretamente. Porém, foram adotados requisitos no sentido de se adquirir produtos com tecnologias mais avançadas e que causem menor danos ao meio ambiente, como no caso das lâmpadas.</w:t>
      </w:r>
    </w:p>
    <w:p w14:paraId="6DD46D62" w14:textId="77777777" w:rsidR="00382EAB" w:rsidRPr="00A56C52" w:rsidRDefault="00382EAB" w:rsidP="00382EAB">
      <w:pPr>
        <w:pStyle w:val="Default"/>
        <w:jc w:val="both"/>
        <w:rPr>
          <w:rFonts w:ascii="Times New Roman" w:hAnsi="Times New Roman" w:cs="Times New Roman"/>
          <w:color w:val="auto"/>
        </w:rPr>
      </w:pPr>
      <w:r w:rsidRPr="00A56C52">
        <w:rPr>
          <w:rFonts w:ascii="Times New Roman" w:eastAsiaTheme="minorHAnsi" w:hAnsi="Times New Roman" w:cs="Times New Roman"/>
          <w:color w:val="auto"/>
          <w:kern w:val="2"/>
        </w:rPr>
        <w:t xml:space="preserve">Além disso, alguns itens a serem adquiridos se enquadram nas categorias </w:t>
      </w:r>
      <w:r w:rsidRPr="00A56C52">
        <w:rPr>
          <w:rFonts w:ascii="Times New Roman" w:hAnsi="Times New Roman" w:cs="Times New Roman"/>
          <w:color w:val="auto"/>
        </w:rPr>
        <w:t xml:space="preserve">cuja fabricação ou industrialização envolva atividades potencialmente poluidoras ou utilizadoras de recursos ambientais (art. 17, II, da Lei n° 6.938/81), devendo ser exigido o </w:t>
      </w:r>
      <w:r w:rsidRPr="00A56C52">
        <w:rPr>
          <w:rFonts w:ascii="Times New Roman" w:eastAsiaTheme="minorHAnsi" w:hAnsi="Times New Roman" w:cs="Times New Roman"/>
          <w:color w:val="auto"/>
          <w:kern w:val="2"/>
        </w:rPr>
        <w:t>registro do fabricante do produto no Cadastro Técnico Federal de Atividades Potencialmente Poluidoras ou Utilizadoras de Recursos Ambientais do IBAMA.</w:t>
      </w:r>
    </w:p>
    <w:p w14:paraId="09754822" w14:textId="77777777" w:rsidR="00382EAB" w:rsidRPr="00A56C52" w:rsidRDefault="00382EAB" w:rsidP="00382EAB">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 xml:space="preserve">Citam-se, exemplificativamente, as seguintes categorias de FABRICANTES Anexo I da Instrução Normativa IBAMA n° 13/2021): </w:t>
      </w:r>
    </w:p>
    <w:p w14:paraId="735CF9D2" w14:textId="77777777" w:rsidR="00382EAB" w:rsidRPr="00A56C52" w:rsidRDefault="00382EAB" w:rsidP="00382EAB">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 xml:space="preserve">- estruturas de madeira e de móveis </w:t>
      </w:r>
    </w:p>
    <w:p w14:paraId="50E8D357" w14:textId="77777777" w:rsidR="00382EAB" w:rsidRPr="00A56C52" w:rsidRDefault="00382EAB" w:rsidP="00382EAB">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 artefatos de material plástico</w:t>
      </w:r>
    </w:p>
    <w:p w14:paraId="0F0099BC" w14:textId="77777777" w:rsidR="00382EAB" w:rsidRPr="00A56C52" w:rsidRDefault="00382EAB" w:rsidP="00382EAB">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 xml:space="preserve">- material elétrico, eletrônico e equipamentos para telecomunicação e informática </w:t>
      </w:r>
    </w:p>
    <w:p w14:paraId="25166EB5" w14:textId="77777777" w:rsidR="00382EAB" w:rsidRPr="00A56C52" w:rsidRDefault="00382EAB" w:rsidP="00382EAB">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 xml:space="preserve">- pilhas, baterias e outros acumuladores </w:t>
      </w:r>
    </w:p>
    <w:p w14:paraId="68A1CC13" w14:textId="77777777" w:rsidR="00382EAB" w:rsidRPr="00A56C52" w:rsidRDefault="00382EAB" w:rsidP="00382EAB">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lastRenderedPageBreak/>
        <w:t xml:space="preserve">- tintas, esmaltes, lacas, vernizes, impermeabilizantes, solventes e secantes </w:t>
      </w:r>
    </w:p>
    <w:p w14:paraId="221EE931" w14:textId="77777777" w:rsidR="00382EAB" w:rsidRPr="00A56C52" w:rsidRDefault="00382EAB" w:rsidP="00382EAB">
      <w:pPr>
        <w:autoSpaceDE w:val="0"/>
        <w:autoSpaceDN w:val="0"/>
        <w:adjustRightInd w:val="0"/>
        <w:spacing w:after="0" w:line="240" w:lineRule="auto"/>
        <w:jc w:val="both"/>
        <w:rPr>
          <w:rFonts w:ascii="Times New Roman" w:hAnsi="Times New Roman" w:cs="Times New Roman"/>
          <w:kern w:val="0"/>
          <w:sz w:val="24"/>
          <w:szCs w:val="24"/>
        </w:rPr>
      </w:pPr>
    </w:p>
    <w:p w14:paraId="16E4D30C" w14:textId="77777777" w:rsidR="00382EAB" w:rsidRPr="00A56C52" w:rsidRDefault="00382EAB" w:rsidP="00382EAB">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63812975" w14:textId="77777777" w:rsidR="00382EAB" w:rsidRPr="00A56C52" w:rsidRDefault="00382EAB" w:rsidP="00382EAB">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kern w:val="0"/>
          <w:sz w:val="24"/>
          <w:szCs w:val="24"/>
        </w:rPr>
        <w:t>Salienta-se também que os órgãos devem dispor adequadamente os resíduos gerados pela manutenção e reparos que usarem os itens a serem adquiridos, já que, em sua grande maioria, não são biodegradáveis.</w:t>
      </w:r>
      <w:r w:rsidRPr="00A56C52">
        <w:rPr>
          <w:rFonts w:ascii="Times New Roman" w:hAnsi="Times New Roman" w:cs="Times New Roman"/>
          <w:sz w:val="24"/>
          <w:szCs w:val="24"/>
        </w:rPr>
        <w:t xml:space="preserve"> Em consulta o Sistema Nacional de Informações sobre a Gestão dos Resíduos Sólidos (</w:t>
      </w:r>
      <w:hyperlink r:id="rId7" w:history="1">
        <w:r w:rsidRPr="00A56C52">
          <w:rPr>
            <w:rStyle w:val="Hyperlink"/>
            <w:rFonts w:ascii="Times New Roman" w:hAnsi="Times New Roman" w:cs="Times New Roman"/>
            <w:sz w:val="24"/>
            <w:szCs w:val="24"/>
          </w:rPr>
          <w:t>SINIR</w:t>
        </w:r>
      </w:hyperlink>
      <w:r w:rsidRPr="00A56C52">
        <w:rPr>
          <w:rFonts w:ascii="Times New Roman" w:hAnsi="Times New Roman" w:cs="Times New Roman"/>
          <w:sz w:val="24"/>
          <w:szCs w:val="24"/>
        </w:rPr>
        <w:t xml:space="preserve">), verificou-se que há sistema de logística reversa implantado para </w:t>
      </w:r>
      <w:hyperlink r:id="rId8" w:history="1">
        <w:r w:rsidRPr="00A56C52">
          <w:rPr>
            <w:rStyle w:val="Hyperlink"/>
            <w:rFonts w:ascii="Times New Roman" w:hAnsi="Times New Roman" w:cs="Times New Roman"/>
            <w:sz w:val="24"/>
            <w:szCs w:val="24"/>
          </w:rPr>
          <w:t>lâmpadas fluorescentes, de vapor de sódio e mercúrio e de luz mista</w:t>
        </w:r>
      </w:hyperlink>
      <w:r w:rsidRPr="00A56C52">
        <w:rPr>
          <w:rFonts w:ascii="Times New Roman" w:hAnsi="Times New Roman" w:cs="Times New Roman"/>
          <w:sz w:val="24"/>
          <w:szCs w:val="24"/>
        </w:rPr>
        <w:t>, entre outros referentes a itens ligados às aquisições pretendidas.</w:t>
      </w:r>
    </w:p>
    <w:p w14:paraId="6D204CE3" w14:textId="77777777" w:rsidR="00382EAB" w:rsidRPr="00A56C52" w:rsidRDefault="00382EAB" w:rsidP="00382EAB">
      <w:pPr>
        <w:autoSpaceDE w:val="0"/>
        <w:autoSpaceDN w:val="0"/>
        <w:adjustRightInd w:val="0"/>
        <w:spacing w:after="0" w:line="240" w:lineRule="auto"/>
        <w:jc w:val="both"/>
        <w:rPr>
          <w:rFonts w:ascii="Times New Roman" w:hAnsi="Times New Roman" w:cs="Times New Roman"/>
          <w:sz w:val="24"/>
          <w:szCs w:val="24"/>
        </w:rPr>
      </w:pPr>
    </w:p>
    <w:p w14:paraId="0B328313" w14:textId="77777777" w:rsidR="00382EAB" w:rsidRDefault="00382EAB"/>
    <w:sectPr w:rsidR="00382EA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5"/>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EAB"/>
    <w:rsid w:val="000E220A"/>
    <w:rsid w:val="000E386B"/>
    <w:rsid w:val="001706C2"/>
    <w:rsid w:val="001D6324"/>
    <w:rsid w:val="002F1B08"/>
    <w:rsid w:val="00382EAB"/>
    <w:rsid w:val="003C46C3"/>
    <w:rsid w:val="003E19AF"/>
    <w:rsid w:val="0040782A"/>
    <w:rsid w:val="005B4AAC"/>
    <w:rsid w:val="00626CB5"/>
    <w:rsid w:val="00642935"/>
    <w:rsid w:val="007E22F9"/>
    <w:rsid w:val="007F7BAA"/>
    <w:rsid w:val="00A54EB9"/>
    <w:rsid w:val="00B74858"/>
    <w:rsid w:val="00BE3040"/>
    <w:rsid w:val="00C72A38"/>
    <w:rsid w:val="00F0395E"/>
    <w:rsid w:val="00F36C70"/>
    <w:rsid w:val="00F6576E"/>
    <w:rsid w:val="00F83161"/>
    <w:rsid w:val="00FD3DF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24843"/>
  <w15:chartTrackingRefBased/>
  <w15:docId w15:val="{A7D28C05-F756-4BBB-9ED4-193CEDE3E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82EAB"/>
    <w:pPr>
      <w:ind w:left="720"/>
      <w:contextualSpacing/>
    </w:pPr>
  </w:style>
  <w:style w:type="paragraph" w:customStyle="1" w:styleId="Default">
    <w:name w:val="Default"/>
    <w:rsid w:val="00382EAB"/>
    <w:pPr>
      <w:autoSpaceDE w:val="0"/>
      <w:autoSpaceDN w:val="0"/>
      <w:adjustRightInd w:val="0"/>
      <w:spacing w:after="0" w:line="240" w:lineRule="auto"/>
    </w:pPr>
    <w:rPr>
      <w:rFonts w:ascii="Malgun Gothic" w:eastAsia="Malgun Gothic" w:cs="Malgun Gothic"/>
      <w:color w:val="000000"/>
      <w:kern w:val="0"/>
      <w:sz w:val="24"/>
      <w:szCs w:val="24"/>
    </w:rPr>
  </w:style>
  <w:style w:type="character" w:styleId="Hyperlink">
    <w:name w:val="Hyperlink"/>
    <w:basedOn w:val="Fontepargpadro"/>
    <w:uiPriority w:val="99"/>
    <w:unhideWhenUsed/>
    <w:rsid w:val="00382EAB"/>
    <w:rPr>
      <w:color w:val="0563C1" w:themeColor="hyperlink"/>
      <w:u w:val="single"/>
    </w:rPr>
  </w:style>
  <w:style w:type="character" w:styleId="HiperlinkVisitado">
    <w:name w:val="FollowedHyperlink"/>
    <w:basedOn w:val="Fontepargpadro"/>
    <w:uiPriority w:val="99"/>
    <w:semiHidden/>
    <w:unhideWhenUsed/>
    <w:rsid w:val="00626CB5"/>
    <w:rPr>
      <w:color w:val="954F72" w:themeColor="followedHyperlink"/>
      <w:u w:val="single"/>
    </w:rPr>
  </w:style>
  <w:style w:type="character" w:styleId="MenoPendente">
    <w:name w:val="Unresolved Mention"/>
    <w:basedOn w:val="Fontepargpadro"/>
    <w:uiPriority w:val="99"/>
    <w:semiHidden/>
    <w:unhideWhenUsed/>
    <w:rsid w:val="007F7B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nir.gov.br/perfis/logistica-reversa/logistica-reversa/lampadas-fluorescentes-de-vapor-de-sodio-e-mercurio-e-de-luz-mista/" TargetMode="External"/><Relationship Id="rId3" Type="http://schemas.openxmlformats.org/officeDocument/2006/relationships/settings" Target="settings.xml"/><Relationship Id="rId7" Type="http://schemas.openxmlformats.org/officeDocument/2006/relationships/hyperlink" Target="https://sinir.gov.br/perfis/logistica-reversa/logistica-revers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ervicos.ibama.gov.br/ctf/publico/certificado_regularidade_consulta.php" TargetMode="External"/><Relationship Id="rId5" Type="http://schemas.openxmlformats.org/officeDocument/2006/relationships/hyperlink" Target="https://www.gov.br/ibama/pt-br/servicos/cadastros/ctf/ctf-app/ftes/ftes-por-categorias"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Pages>
  <Words>1132</Words>
  <Characters>6119</Characters>
  <Application>Microsoft Office Word</Application>
  <DocSecurity>0</DocSecurity>
  <Lines>50</Lines>
  <Paragraphs>14</Paragraphs>
  <ScaleCrop>false</ScaleCrop>
  <Company/>
  <LinksUpToDate>false</LinksUpToDate>
  <CharactersWithSpaces>7237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19</cp:revision>
  <dcterms:created xsi:type="dcterms:W3CDTF">2025-08-07T13:37:00Z</dcterms:created>
  <dcterms:modified xsi:type="dcterms:W3CDTF">2025-08-30T19:03:00Z</dcterms:modified>
</cp:coreProperties>
</file>