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89E70B" w14:textId="021B8B3F" w:rsidR="00DA2703" w:rsidRPr="00DA2703" w:rsidRDefault="00FF4784" w:rsidP="00FF4784">
      <w:pPr>
        <w:spacing w:line="240" w:lineRule="auto"/>
        <w:jc w:val="both"/>
        <w:rPr>
          <w:rFonts w:ascii="Times New Roman" w:hAnsi="Times New Roman" w:cs="Times New Roman"/>
          <w:i/>
          <w:iCs/>
          <w:color w:val="2F5496" w:themeColor="accent1" w:themeShade="BF"/>
          <w:sz w:val="24"/>
          <w:szCs w:val="24"/>
          <w:u w:val="single"/>
        </w:rPr>
      </w:pPr>
      <w:r w:rsidRPr="002C57AF">
        <w:rPr>
          <w:rFonts w:ascii="Times New Roman" w:hAnsi="Times New Roman" w:cs="Times New Roman"/>
          <w:i/>
          <w:iCs/>
          <w:color w:val="2F5496" w:themeColor="accent1" w:themeShade="BF"/>
          <w:sz w:val="24"/>
          <w:szCs w:val="24"/>
          <w:u w:val="single"/>
        </w:rPr>
        <w:t xml:space="preserve">449051 </w:t>
      </w:r>
      <w:r w:rsidR="00DA2703">
        <w:rPr>
          <w:rFonts w:ascii="Times New Roman" w:hAnsi="Times New Roman" w:cs="Times New Roman"/>
          <w:i/>
          <w:iCs/>
          <w:color w:val="2F5496" w:themeColor="accent1" w:themeShade="BF"/>
          <w:sz w:val="24"/>
          <w:szCs w:val="24"/>
          <w:u w:val="single"/>
        </w:rPr>
        <w:t>–</w:t>
      </w:r>
      <w:r w:rsidRPr="002C57AF">
        <w:rPr>
          <w:rFonts w:ascii="Times New Roman" w:hAnsi="Times New Roman" w:cs="Times New Roman"/>
          <w:i/>
          <w:iCs/>
          <w:color w:val="2F5496" w:themeColor="accent1" w:themeShade="BF"/>
          <w:sz w:val="24"/>
          <w:szCs w:val="24"/>
          <w:u w:val="single"/>
        </w:rPr>
        <w:t xml:space="preserve"> Obras</w:t>
      </w:r>
    </w:p>
    <w:p w14:paraId="2FB5F545" w14:textId="77777777" w:rsidR="00FF4784" w:rsidRPr="00A56C52" w:rsidRDefault="00FF4784" w:rsidP="00FF4784">
      <w:pPr>
        <w:autoSpaceDE w:val="0"/>
        <w:autoSpaceDN w:val="0"/>
        <w:adjustRightInd w:val="0"/>
        <w:spacing w:after="0" w:line="240" w:lineRule="auto"/>
        <w:jc w:val="both"/>
        <w:rPr>
          <w:rFonts w:ascii="Times New Roman" w:hAnsi="Times New Roman" w:cs="Times New Roman"/>
          <w:color w:val="000000"/>
          <w:kern w:val="0"/>
          <w:sz w:val="24"/>
          <w:szCs w:val="24"/>
        </w:rPr>
      </w:pPr>
      <w:r w:rsidRPr="002C57AF">
        <w:rPr>
          <w:rFonts w:ascii="Times New Roman" w:hAnsi="Times New Roman" w:cs="Times New Roman"/>
          <w:i/>
          <w:iCs/>
          <w:color w:val="2F5496" w:themeColor="accent1" w:themeShade="BF"/>
          <w:sz w:val="24"/>
          <w:szCs w:val="24"/>
        </w:rPr>
        <w:t>Acessibilidade em Obras e Serviços de Engenharia</w:t>
      </w:r>
    </w:p>
    <w:p w14:paraId="728F1C79" w14:textId="77777777" w:rsidR="00FF4784" w:rsidRPr="00A56C52" w:rsidRDefault="00FF4784" w:rsidP="00FF4784">
      <w:pPr>
        <w:autoSpaceDE w:val="0"/>
        <w:autoSpaceDN w:val="0"/>
        <w:adjustRightInd w:val="0"/>
        <w:spacing w:after="0" w:line="240" w:lineRule="auto"/>
        <w:jc w:val="both"/>
        <w:rPr>
          <w:rFonts w:ascii="Times New Roman" w:hAnsi="Times New Roman" w:cs="Times New Roman"/>
          <w:color w:val="000000"/>
          <w:kern w:val="0"/>
          <w:sz w:val="24"/>
          <w:szCs w:val="24"/>
        </w:rPr>
      </w:pPr>
    </w:p>
    <w:p w14:paraId="774447F0"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Consultar na fase de planejamento da contratação a Portaria Conjunta MGI/MDHC n. 45/2024. </w:t>
      </w:r>
    </w:p>
    <w:p w14:paraId="1188B74E"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Na elaboração do projeto básico deverão ser considerados: </w:t>
      </w:r>
    </w:p>
    <w:p w14:paraId="44ECDB37"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se o objeto está de acordo com o desenho universal, que visa atender à maior gama de variações possíveis das características antropométricas e sensoriais da população; </w:t>
      </w:r>
    </w:p>
    <w:p w14:paraId="4DA2A971"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b) se está adequado aos padrões de acessibilidade constantes da Lei nº 10.098, de 2000, da Lei nº 13.146, de 2015, do Decreto nº 5.296/2004 e da NBR 9050/ABNT, bem como sinalização em </w:t>
      </w:r>
      <w:proofErr w:type="spellStart"/>
      <w:r w:rsidRPr="00A56C52">
        <w:rPr>
          <w:rFonts w:ascii="Times New Roman" w:hAnsi="Times New Roman" w:cs="Times New Roman"/>
          <w:sz w:val="24"/>
          <w:szCs w:val="24"/>
        </w:rPr>
        <w:t>braille</w:t>
      </w:r>
      <w:proofErr w:type="spellEnd"/>
      <w:r w:rsidRPr="00A56C52">
        <w:rPr>
          <w:rFonts w:ascii="Times New Roman" w:hAnsi="Times New Roman" w:cs="Times New Roman"/>
          <w:sz w:val="24"/>
          <w:szCs w:val="24"/>
        </w:rPr>
        <w:t xml:space="preserve"> e em formatos de fácil leitura e compreensão nos termos do Decreto nº 6.949, de 2009. </w:t>
      </w:r>
    </w:p>
    <w:p w14:paraId="744B336E" w14:textId="77777777" w:rsidR="00FF4784" w:rsidRPr="00A56C52" w:rsidRDefault="00FF4784" w:rsidP="00FF4784">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São requisitos de acessibilidade: </w:t>
      </w:r>
    </w:p>
    <w:p w14:paraId="04010BEF" w14:textId="77777777" w:rsidR="00FF4784" w:rsidRPr="00A56C52" w:rsidRDefault="00FF4784" w:rsidP="00FF4784">
      <w:pPr>
        <w:autoSpaceDE w:val="0"/>
        <w:autoSpaceDN w:val="0"/>
        <w:adjustRightInd w:val="0"/>
        <w:spacing w:after="0" w:line="240" w:lineRule="auto"/>
        <w:jc w:val="both"/>
        <w:rPr>
          <w:rFonts w:ascii="Times New Roman" w:hAnsi="Times New Roman" w:cs="Times New Roman"/>
          <w:sz w:val="24"/>
          <w:szCs w:val="24"/>
        </w:rPr>
      </w:pPr>
    </w:p>
    <w:p w14:paraId="373384CD"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I – </w:t>
      </w:r>
      <w:proofErr w:type="gramStart"/>
      <w:r w:rsidRPr="00A56C52">
        <w:rPr>
          <w:rFonts w:ascii="Times New Roman" w:hAnsi="Times New Roman" w:cs="Times New Roman"/>
          <w:sz w:val="24"/>
          <w:szCs w:val="24"/>
        </w:rPr>
        <w:t>nas</w:t>
      </w:r>
      <w:proofErr w:type="gramEnd"/>
      <w:r w:rsidRPr="00A56C52">
        <w:rPr>
          <w:rFonts w:ascii="Times New Roman" w:hAnsi="Times New Roman" w:cs="Times New Roman"/>
          <w:sz w:val="24"/>
          <w:szCs w:val="24"/>
        </w:rPr>
        <w:t xml:space="preserve"> áreas externas ou internas da edificação, destinadas a garagem e a estacionamento de uso público, deverão ser reservadas vagas próximas dos acessos de circulação de pedestres, devidamente sinalizadas, para veículos que transportem pessoas portadoras de deficiência com dificuldade de locomoção permanente; </w:t>
      </w:r>
    </w:p>
    <w:p w14:paraId="1CB76EFC" w14:textId="74C7EF4F" w:rsidR="009A1D06" w:rsidRDefault="00FF4784" w:rsidP="00FF4784">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II – </w:t>
      </w:r>
      <w:proofErr w:type="gramStart"/>
      <w:r w:rsidRPr="00A56C52">
        <w:rPr>
          <w:rFonts w:ascii="Times New Roman" w:hAnsi="Times New Roman" w:cs="Times New Roman"/>
          <w:sz w:val="24"/>
          <w:szCs w:val="24"/>
        </w:rPr>
        <w:t>pelo</w:t>
      </w:r>
      <w:proofErr w:type="gramEnd"/>
      <w:r w:rsidRPr="00A56C52">
        <w:rPr>
          <w:rFonts w:ascii="Times New Roman" w:hAnsi="Times New Roman" w:cs="Times New Roman"/>
          <w:sz w:val="24"/>
          <w:szCs w:val="24"/>
        </w:rPr>
        <w:t xml:space="preserve"> menos um dos acessos ao interior da edificação deverá estar livre de barreiras arquitetônicas e de obstáculos que impeçam ou dificultem a acessibilidade de pessoa portadora de deficiência ou com mobilidade reduzida; </w:t>
      </w:r>
    </w:p>
    <w:p w14:paraId="6ECF70EE" w14:textId="77777777" w:rsidR="00C10B4A" w:rsidRPr="00A56C52" w:rsidRDefault="00C10B4A" w:rsidP="00FF4784">
      <w:pPr>
        <w:autoSpaceDE w:val="0"/>
        <w:autoSpaceDN w:val="0"/>
        <w:adjustRightInd w:val="0"/>
        <w:spacing w:after="0" w:line="240" w:lineRule="auto"/>
        <w:jc w:val="both"/>
        <w:rPr>
          <w:rFonts w:ascii="Times New Roman" w:hAnsi="Times New Roman" w:cs="Times New Roman"/>
          <w:sz w:val="24"/>
          <w:szCs w:val="24"/>
        </w:rPr>
      </w:pPr>
    </w:p>
    <w:p w14:paraId="4A29C325" w14:textId="77777777" w:rsidR="00FF4784" w:rsidRPr="00A56C52" w:rsidRDefault="00FF4784" w:rsidP="00FF4784">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III – pelo menos um dos itinerários que comuniquem horizontal e verticalmente todas as dependências e serviços do edifício, entre si e com o exterior, deverá cumprir os requisitos de acessibilidade de que trata a Lei; e </w:t>
      </w:r>
    </w:p>
    <w:p w14:paraId="3F303829" w14:textId="77777777" w:rsidR="00FF4784"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IV – </w:t>
      </w:r>
      <w:proofErr w:type="gramStart"/>
      <w:r w:rsidRPr="00A56C52">
        <w:rPr>
          <w:rFonts w:ascii="Times New Roman" w:hAnsi="Times New Roman" w:cs="Times New Roman"/>
          <w:sz w:val="24"/>
          <w:szCs w:val="24"/>
        </w:rPr>
        <w:t>os</w:t>
      </w:r>
      <w:proofErr w:type="gramEnd"/>
      <w:r w:rsidRPr="00A56C52">
        <w:rPr>
          <w:rFonts w:ascii="Times New Roman" w:hAnsi="Times New Roman" w:cs="Times New Roman"/>
          <w:sz w:val="24"/>
          <w:szCs w:val="24"/>
        </w:rPr>
        <w:t xml:space="preserve"> edifícios deverão dispor, pelo menos, de um banheiro acessível, distribuindo-se seus equipamentos e acessórios de maneira que possam ser utilizados por pessoa portadora de deficiência ou com mobilidade reduzida. </w:t>
      </w:r>
    </w:p>
    <w:p w14:paraId="6EA2EE1C" w14:textId="77777777" w:rsidR="00DA2703" w:rsidRDefault="00DA2703" w:rsidP="00FF4784">
      <w:pPr>
        <w:spacing w:line="240" w:lineRule="auto"/>
        <w:jc w:val="both"/>
        <w:rPr>
          <w:rFonts w:ascii="Times New Roman" w:hAnsi="Times New Roman" w:cs="Times New Roman"/>
          <w:sz w:val="24"/>
          <w:szCs w:val="24"/>
        </w:rPr>
      </w:pPr>
    </w:p>
    <w:p w14:paraId="230BCE06" w14:textId="16038BBE" w:rsidR="00005E82" w:rsidRPr="00005E82" w:rsidRDefault="00005E82" w:rsidP="00931AE6">
      <w:pPr>
        <w:spacing w:line="240" w:lineRule="auto"/>
        <w:jc w:val="both"/>
        <w:rPr>
          <w:rFonts w:ascii="Times New Roman" w:hAnsi="Times New Roman" w:cs="Times New Roman"/>
          <w:i/>
          <w:iCs/>
          <w:color w:val="2F5496" w:themeColor="accent1" w:themeShade="BF"/>
          <w:sz w:val="24"/>
          <w:szCs w:val="24"/>
        </w:rPr>
      </w:pPr>
      <w:r w:rsidRPr="00005E82">
        <w:rPr>
          <w:rFonts w:ascii="Times New Roman" w:hAnsi="Times New Roman" w:cs="Times New Roman"/>
          <w:i/>
          <w:iCs/>
          <w:color w:val="2F5496" w:themeColor="accent1" w:themeShade="BF"/>
          <w:sz w:val="24"/>
          <w:szCs w:val="24"/>
        </w:rPr>
        <w:t>Recomendações</w:t>
      </w:r>
    </w:p>
    <w:p w14:paraId="36A5BB41" w14:textId="3A77DAA5" w:rsidR="00931AE6" w:rsidRPr="00931AE6" w:rsidRDefault="00931AE6" w:rsidP="00931AE6">
      <w:pPr>
        <w:spacing w:line="240" w:lineRule="auto"/>
        <w:jc w:val="both"/>
        <w:rPr>
          <w:rFonts w:ascii="Times New Roman" w:hAnsi="Times New Roman" w:cs="Times New Roman"/>
          <w:sz w:val="24"/>
          <w:szCs w:val="24"/>
        </w:rPr>
      </w:pPr>
      <w:r>
        <w:rPr>
          <w:rFonts w:ascii="Times New Roman" w:hAnsi="Times New Roman" w:cs="Times New Roman"/>
          <w:sz w:val="24"/>
          <w:szCs w:val="24"/>
        </w:rPr>
        <w:t>A</w:t>
      </w:r>
      <w:r w:rsidRPr="00931AE6">
        <w:rPr>
          <w:rFonts w:ascii="Times New Roman" w:hAnsi="Times New Roman" w:cs="Times New Roman"/>
          <w:sz w:val="24"/>
          <w:szCs w:val="24"/>
        </w:rPr>
        <w:t xml:space="preserve">s especificações e demais exigências do projeto básico ou executivo para contratação de obras e serviços de Engenharia devem ser elaboradas visando à economia da manutenção e operacionalização da edificação, à redução do consumo de energia e água, bem como à utilização de tecnologias e materiais que reduzam o impacto ambiental. Para isso, poderão ser adotadas medidas como: </w:t>
      </w:r>
    </w:p>
    <w:p w14:paraId="0F0D8C13"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I - </w:t>
      </w:r>
      <w:proofErr w:type="gramStart"/>
      <w:r w:rsidRPr="00931AE6">
        <w:rPr>
          <w:rFonts w:ascii="Times New Roman" w:hAnsi="Times New Roman" w:cs="Times New Roman"/>
          <w:sz w:val="24"/>
          <w:szCs w:val="24"/>
        </w:rPr>
        <w:t>adoção</w:t>
      </w:r>
      <w:proofErr w:type="gramEnd"/>
      <w:r w:rsidRPr="00931AE6">
        <w:rPr>
          <w:rFonts w:ascii="Times New Roman" w:hAnsi="Times New Roman" w:cs="Times New Roman"/>
          <w:sz w:val="24"/>
          <w:szCs w:val="24"/>
        </w:rPr>
        <w:t xml:space="preserve">, preferencialmente, de mecanismos de ventilação natural e uso de equipamentos de climatização mecânica ou de novas tecnologias de resfriamento do ar que utilizem energia elétrica apenas nos ambientes onde for indispensável; </w:t>
      </w:r>
    </w:p>
    <w:p w14:paraId="15C3781E"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II - </w:t>
      </w:r>
      <w:proofErr w:type="gramStart"/>
      <w:r w:rsidRPr="00931AE6">
        <w:rPr>
          <w:rFonts w:ascii="Times New Roman" w:hAnsi="Times New Roman" w:cs="Times New Roman"/>
          <w:sz w:val="24"/>
          <w:szCs w:val="24"/>
        </w:rPr>
        <w:t>automação</w:t>
      </w:r>
      <w:proofErr w:type="gramEnd"/>
      <w:r w:rsidRPr="00931AE6">
        <w:rPr>
          <w:rFonts w:ascii="Times New Roman" w:hAnsi="Times New Roman" w:cs="Times New Roman"/>
          <w:sz w:val="24"/>
          <w:szCs w:val="24"/>
        </w:rPr>
        <w:t xml:space="preserve"> da iluminação do prédio, projeto de iluminação, interruptores, iluminação am</w:t>
      </w:r>
      <w:r w:rsidRPr="00931AE6">
        <w:rPr>
          <w:rFonts w:ascii="Times New Roman" w:hAnsi="Times New Roman" w:cs="Times New Roman"/>
          <w:sz w:val="24"/>
          <w:szCs w:val="24"/>
        </w:rPr>
        <w:softHyphen/>
        <w:t xml:space="preserve">biental, iluminação tarefa, uso de sensores de presença; </w:t>
      </w:r>
    </w:p>
    <w:p w14:paraId="06E3C7C1"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III - uso exclusivo de lâmpadas de tecnologia mais eficiente nos critérios de alto rendimento, economicidade, luminárias eficientes e de maior vida útil; </w:t>
      </w:r>
    </w:p>
    <w:p w14:paraId="6B72FB12"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IV - </w:t>
      </w:r>
      <w:proofErr w:type="gramStart"/>
      <w:r w:rsidRPr="00931AE6">
        <w:rPr>
          <w:rFonts w:ascii="Times New Roman" w:hAnsi="Times New Roman" w:cs="Times New Roman"/>
          <w:sz w:val="24"/>
          <w:szCs w:val="24"/>
        </w:rPr>
        <w:t>sensores</w:t>
      </w:r>
      <w:proofErr w:type="gramEnd"/>
      <w:r w:rsidRPr="00931AE6">
        <w:rPr>
          <w:rFonts w:ascii="Times New Roman" w:hAnsi="Times New Roman" w:cs="Times New Roman"/>
          <w:sz w:val="24"/>
          <w:szCs w:val="24"/>
        </w:rPr>
        <w:t xml:space="preserve"> de presença nas áreas de menor afluência do público; </w:t>
      </w:r>
    </w:p>
    <w:p w14:paraId="3516D814"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lastRenderedPageBreak/>
        <w:t xml:space="preserve">V – </w:t>
      </w:r>
      <w:proofErr w:type="gramStart"/>
      <w:r w:rsidRPr="00931AE6">
        <w:rPr>
          <w:rFonts w:ascii="Times New Roman" w:hAnsi="Times New Roman" w:cs="Times New Roman"/>
          <w:sz w:val="24"/>
          <w:szCs w:val="24"/>
        </w:rPr>
        <w:t>utilização</w:t>
      </w:r>
      <w:proofErr w:type="gramEnd"/>
      <w:r w:rsidRPr="00931AE6">
        <w:rPr>
          <w:rFonts w:ascii="Times New Roman" w:hAnsi="Times New Roman" w:cs="Times New Roman"/>
          <w:sz w:val="24"/>
          <w:szCs w:val="24"/>
        </w:rPr>
        <w:t xml:space="preserve"> de fontes alternativas de energia limpa; </w:t>
      </w:r>
    </w:p>
    <w:p w14:paraId="486C3887"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VI - </w:t>
      </w:r>
      <w:proofErr w:type="gramStart"/>
      <w:r w:rsidRPr="00931AE6">
        <w:rPr>
          <w:rFonts w:ascii="Times New Roman" w:hAnsi="Times New Roman" w:cs="Times New Roman"/>
          <w:sz w:val="24"/>
          <w:szCs w:val="24"/>
        </w:rPr>
        <w:t>sistema</w:t>
      </w:r>
      <w:proofErr w:type="gramEnd"/>
      <w:r w:rsidRPr="00931AE6">
        <w:rPr>
          <w:rFonts w:ascii="Times New Roman" w:hAnsi="Times New Roman" w:cs="Times New Roman"/>
          <w:sz w:val="24"/>
          <w:szCs w:val="24"/>
        </w:rPr>
        <w:t xml:space="preserve"> de medição individualizado por prédio de consumo de água e energia; </w:t>
      </w:r>
    </w:p>
    <w:p w14:paraId="7AC174E5"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VII - sistema de reuso de água e de tratamento de efluentes gerados; </w:t>
      </w:r>
    </w:p>
    <w:p w14:paraId="6AAE7DEF"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VIII - aproveitamento da água da chuva, agregando ao sistema hidráulico elementos que pos</w:t>
      </w:r>
      <w:r w:rsidRPr="00931AE6">
        <w:rPr>
          <w:rFonts w:ascii="Times New Roman" w:hAnsi="Times New Roman" w:cs="Times New Roman"/>
          <w:sz w:val="24"/>
          <w:szCs w:val="24"/>
        </w:rPr>
        <w:softHyphen/>
        <w:t xml:space="preserve">sibilitem captação, transporte, armazenamento e seu reuso; </w:t>
      </w:r>
    </w:p>
    <w:p w14:paraId="432226B2"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IX - </w:t>
      </w:r>
      <w:proofErr w:type="gramStart"/>
      <w:r w:rsidRPr="00931AE6">
        <w:rPr>
          <w:rFonts w:ascii="Times New Roman" w:hAnsi="Times New Roman" w:cs="Times New Roman"/>
          <w:sz w:val="24"/>
          <w:szCs w:val="24"/>
        </w:rPr>
        <w:t>utilização</w:t>
      </w:r>
      <w:proofErr w:type="gramEnd"/>
      <w:r w:rsidRPr="00931AE6">
        <w:rPr>
          <w:rFonts w:ascii="Times New Roman" w:hAnsi="Times New Roman" w:cs="Times New Roman"/>
          <w:sz w:val="24"/>
          <w:szCs w:val="24"/>
        </w:rPr>
        <w:t xml:space="preserve"> de materiais que sejam reciclados, reutilizados e biodegradáveis e que reduzam a necessidade de manutenção; </w:t>
      </w:r>
    </w:p>
    <w:p w14:paraId="10335196"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X - </w:t>
      </w:r>
      <w:proofErr w:type="gramStart"/>
      <w:r w:rsidRPr="00931AE6">
        <w:rPr>
          <w:rFonts w:ascii="Times New Roman" w:hAnsi="Times New Roman" w:cs="Times New Roman"/>
          <w:sz w:val="24"/>
          <w:szCs w:val="24"/>
        </w:rPr>
        <w:t>isolamento</w:t>
      </w:r>
      <w:proofErr w:type="gramEnd"/>
      <w:r w:rsidRPr="00931AE6">
        <w:rPr>
          <w:rFonts w:ascii="Times New Roman" w:hAnsi="Times New Roman" w:cs="Times New Roman"/>
          <w:sz w:val="24"/>
          <w:szCs w:val="24"/>
        </w:rPr>
        <w:t xml:space="preserve"> térmico dos dutos de refrigeração; </w:t>
      </w:r>
    </w:p>
    <w:p w14:paraId="1BCD8F95"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XI - uso de elementos de proteção passiva e materiais para tratamento da envoltória que regu</w:t>
      </w:r>
      <w:r w:rsidRPr="00931AE6">
        <w:rPr>
          <w:rFonts w:ascii="Times New Roman" w:hAnsi="Times New Roman" w:cs="Times New Roman"/>
          <w:sz w:val="24"/>
          <w:szCs w:val="24"/>
        </w:rPr>
        <w:softHyphen/>
        <w:t xml:space="preserve">lem a carga térmica e minimizem o consumo de energia; </w:t>
      </w:r>
    </w:p>
    <w:p w14:paraId="380A016D"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XII - divisão de circuitos e controle da iluminação individualizado por ambiente; </w:t>
      </w:r>
    </w:p>
    <w:p w14:paraId="72E57236" w14:textId="77777777" w:rsidR="00931AE6" w:rsidRPr="00931AE6"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 xml:space="preserve">XIII - comprovação da origem de manejo sustentável da madeira a ser utilizada na execução de obra ou serviço; </w:t>
      </w:r>
    </w:p>
    <w:p w14:paraId="37E74EF1" w14:textId="675B639F" w:rsidR="00FF4784" w:rsidRDefault="00931AE6" w:rsidP="00931AE6">
      <w:pPr>
        <w:spacing w:line="240" w:lineRule="auto"/>
        <w:jc w:val="both"/>
        <w:rPr>
          <w:rFonts w:ascii="Times New Roman" w:hAnsi="Times New Roman" w:cs="Times New Roman"/>
          <w:sz w:val="24"/>
          <w:szCs w:val="24"/>
        </w:rPr>
      </w:pPr>
      <w:r w:rsidRPr="00931AE6">
        <w:rPr>
          <w:rFonts w:ascii="Times New Roman" w:hAnsi="Times New Roman" w:cs="Times New Roman"/>
          <w:sz w:val="24"/>
          <w:szCs w:val="24"/>
        </w:rPr>
        <w:t>XIV – priorização de mão de obra, materiais, tecnologias e matérias-primas de origem local para execução, conservação e operação das obras públicas.</w:t>
      </w:r>
    </w:p>
    <w:p w14:paraId="6DF159C7" w14:textId="1F3B6C37" w:rsidR="00F33D92" w:rsidRDefault="00947674" w:rsidP="00931AE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XV - </w:t>
      </w:r>
      <w:proofErr w:type="gramStart"/>
      <w:r w:rsidR="00FB5BBD">
        <w:rPr>
          <w:rFonts w:ascii="Times New Roman" w:hAnsi="Times New Roman" w:cs="Times New Roman"/>
          <w:sz w:val="24"/>
          <w:szCs w:val="24"/>
        </w:rPr>
        <w:t>u</w:t>
      </w:r>
      <w:r w:rsidRPr="00947674">
        <w:rPr>
          <w:rFonts w:ascii="Times New Roman" w:hAnsi="Times New Roman" w:cs="Times New Roman"/>
          <w:sz w:val="24"/>
          <w:szCs w:val="24"/>
        </w:rPr>
        <w:t>tilização</w:t>
      </w:r>
      <w:proofErr w:type="gramEnd"/>
      <w:r w:rsidRPr="00947674">
        <w:rPr>
          <w:rFonts w:ascii="Times New Roman" w:hAnsi="Times New Roman" w:cs="Times New Roman"/>
          <w:sz w:val="24"/>
          <w:szCs w:val="24"/>
        </w:rPr>
        <w:t xml:space="preserve"> de revestimentos de cor clara nas coberturas e fachadas, para reflexão dos raios solares, e consequente redução da carga térmica nestas superfícies, com o ob</w:t>
      </w:r>
      <w:r w:rsidRPr="00947674">
        <w:rPr>
          <w:rFonts w:ascii="Times New Roman" w:hAnsi="Times New Roman" w:cs="Times New Roman"/>
          <w:sz w:val="24"/>
          <w:szCs w:val="24"/>
        </w:rPr>
        <w:softHyphen/>
        <w:t>jetivo de melhorar o conforto ambiental e reduzir a necessidade de climatização. Deve ser avaliada ainda a opção de implantar a cobertura verde</w:t>
      </w:r>
      <w:r w:rsidR="00FD74FF">
        <w:rPr>
          <w:rFonts w:ascii="Times New Roman" w:hAnsi="Times New Roman" w:cs="Times New Roman"/>
          <w:sz w:val="24"/>
          <w:szCs w:val="24"/>
        </w:rPr>
        <w:t>;</w:t>
      </w:r>
    </w:p>
    <w:p w14:paraId="01AF63F1" w14:textId="077BE0D1" w:rsidR="00FD74FF" w:rsidRDefault="00FD74FF" w:rsidP="00931AE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XVI - </w:t>
      </w:r>
      <w:r w:rsidR="00FB5BBD">
        <w:rPr>
          <w:rFonts w:ascii="Times New Roman" w:hAnsi="Times New Roman" w:cs="Times New Roman"/>
          <w:sz w:val="24"/>
          <w:szCs w:val="24"/>
        </w:rPr>
        <w:t>e</w:t>
      </w:r>
      <w:r w:rsidR="0035453E" w:rsidRPr="0035453E">
        <w:rPr>
          <w:rFonts w:ascii="Times New Roman" w:hAnsi="Times New Roman" w:cs="Times New Roman"/>
          <w:sz w:val="24"/>
          <w:szCs w:val="24"/>
        </w:rPr>
        <w:t>mprego de tintas à base de água, livre de compostos orgânicos voláteis, sem pig</w:t>
      </w:r>
      <w:r w:rsidR="0035453E" w:rsidRPr="0035453E">
        <w:rPr>
          <w:rFonts w:ascii="Times New Roman" w:hAnsi="Times New Roman" w:cs="Times New Roman"/>
          <w:sz w:val="24"/>
          <w:szCs w:val="24"/>
        </w:rPr>
        <w:softHyphen/>
        <w:t>mentos à base de metais pesados, fungicidas sintéticos ou derivados de petróleo;</w:t>
      </w:r>
    </w:p>
    <w:p w14:paraId="6F07DD94" w14:textId="75F403AD" w:rsidR="0035453E" w:rsidRDefault="0035453E" w:rsidP="00931AE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XVII - </w:t>
      </w:r>
      <w:r w:rsidR="00FB5BBD">
        <w:rPr>
          <w:rFonts w:ascii="Times New Roman" w:hAnsi="Times New Roman" w:cs="Times New Roman"/>
          <w:sz w:val="24"/>
          <w:szCs w:val="24"/>
        </w:rPr>
        <w:t>u</w:t>
      </w:r>
      <w:r w:rsidRPr="0035453E">
        <w:rPr>
          <w:rFonts w:ascii="Times New Roman" w:hAnsi="Times New Roman" w:cs="Times New Roman"/>
          <w:sz w:val="24"/>
          <w:szCs w:val="24"/>
        </w:rPr>
        <w:t>tilização de outros materiais em substituição ao asbesto/amianto</w:t>
      </w:r>
      <w:r w:rsidR="00337E98">
        <w:rPr>
          <w:rFonts w:ascii="Times New Roman" w:hAnsi="Times New Roman" w:cs="Times New Roman"/>
          <w:sz w:val="24"/>
          <w:szCs w:val="24"/>
        </w:rPr>
        <w:t>;</w:t>
      </w:r>
    </w:p>
    <w:p w14:paraId="4ECDABEB" w14:textId="3CDE131C" w:rsidR="00337E98" w:rsidRDefault="00337E98" w:rsidP="001764E3">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XVIII - </w:t>
      </w:r>
      <w:r w:rsidR="00FB5BBD">
        <w:rPr>
          <w:rFonts w:ascii="Times New Roman" w:hAnsi="Times New Roman" w:cs="Times New Roman"/>
          <w:sz w:val="24"/>
          <w:szCs w:val="24"/>
        </w:rPr>
        <w:t>u</w:t>
      </w:r>
      <w:r w:rsidR="001764E3" w:rsidRPr="001764E3">
        <w:rPr>
          <w:rFonts w:ascii="Times New Roman" w:hAnsi="Times New Roman" w:cs="Times New Roman"/>
          <w:sz w:val="24"/>
          <w:szCs w:val="24"/>
        </w:rPr>
        <w:t>tilização de revestimentos impermeáveis e antipoluentes nos ambientes internos, de fácil limpeza, e que favoreçam o conforto térmico e acústico das edificações;</w:t>
      </w:r>
    </w:p>
    <w:p w14:paraId="392E0AEF" w14:textId="652257F9" w:rsidR="00A70242" w:rsidRDefault="00A70242" w:rsidP="00A7024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XIX - </w:t>
      </w:r>
      <w:r w:rsidR="00FB5BBD">
        <w:rPr>
          <w:rFonts w:ascii="Times New Roman" w:hAnsi="Times New Roman" w:cs="Times New Roman"/>
          <w:sz w:val="24"/>
          <w:szCs w:val="24"/>
        </w:rPr>
        <w:t>e</w:t>
      </w:r>
      <w:r w:rsidRPr="00A70242">
        <w:rPr>
          <w:rFonts w:ascii="Times New Roman" w:hAnsi="Times New Roman" w:cs="Times New Roman"/>
          <w:sz w:val="24"/>
          <w:szCs w:val="24"/>
        </w:rPr>
        <w:t>mprego de pisos externos que favoreçam a infiltração das águas da chuva no solo,</w:t>
      </w:r>
      <w:r>
        <w:rPr>
          <w:rFonts w:ascii="Times New Roman" w:hAnsi="Times New Roman" w:cs="Times New Roman"/>
          <w:sz w:val="24"/>
          <w:szCs w:val="24"/>
        </w:rPr>
        <w:t xml:space="preserve"> </w:t>
      </w:r>
      <w:r w:rsidRPr="00A70242">
        <w:rPr>
          <w:rFonts w:ascii="Times New Roman" w:hAnsi="Times New Roman" w:cs="Times New Roman"/>
          <w:sz w:val="24"/>
          <w:szCs w:val="24"/>
        </w:rPr>
        <w:t>de forma a não sobrecarregar o sistema de coleta de águas pluviais</w:t>
      </w:r>
      <w:r>
        <w:rPr>
          <w:rFonts w:ascii="Times New Roman" w:hAnsi="Times New Roman" w:cs="Times New Roman"/>
          <w:sz w:val="24"/>
          <w:szCs w:val="24"/>
        </w:rPr>
        <w:t>;</w:t>
      </w:r>
    </w:p>
    <w:p w14:paraId="0508B797" w14:textId="4909175F" w:rsidR="00005E82" w:rsidRDefault="00FB5BBD" w:rsidP="007D5518">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XX - </w:t>
      </w:r>
      <w:proofErr w:type="gramStart"/>
      <w:r w:rsidR="007D5518">
        <w:rPr>
          <w:rFonts w:ascii="Times New Roman" w:hAnsi="Times New Roman" w:cs="Times New Roman"/>
          <w:sz w:val="24"/>
          <w:szCs w:val="24"/>
        </w:rPr>
        <w:t>u</w:t>
      </w:r>
      <w:r w:rsidR="007D5518" w:rsidRPr="007D5518">
        <w:rPr>
          <w:rFonts w:ascii="Times New Roman" w:hAnsi="Times New Roman" w:cs="Times New Roman"/>
          <w:sz w:val="24"/>
          <w:szCs w:val="24"/>
        </w:rPr>
        <w:t>tilização</w:t>
      </w:r>
      <w:proofErr w:type="gramEnd"/>
      <w:r w:rsidR="007D5518" w:rsidRPr="007D5518">
        <w:rPr>
          <w:rFonts w:ascii="Times New Roman" w:hAnsi="Times New Roman" w:cs="Times New Roman"/>
          <w:sz w:val="24"/>
          <w:szCs w:val="24"/>
        </w:rPr>
        <w:t xml:space="preserve"> de equipamentos economizadores de água, com baixa pressão, tais como torneiras com aeradores, com sensores ou de fechamento automático, sanitários com sensores ou com válvulas de descarga com duplo acionamento ou com caixa acoplada</w:t>
      </w:r>
      <w:r w:rsidR="00DA2703">
        <w:rPr>
          <w:rFonts w:ascii="Times New Roman" w:hAnsi="Times New Roman" w:cs="Times New Roman"/>
          <w:sz w:val="24"/>
          <w:szCs w:val="24"/>
        </w:rPr>
        <w:t>;</w:t>
      </w:r>
    </w:p>
    <w:p w14:paraId="2DEF16EA" w14:textId="77777777" w:rsidR="00DA2703" w:rsidRPr="00A56C52" w:rsidRDefault="00DA2703" w:rsidP="007D5518">
      <w:pPr>
        <w:spacing w:line="240" w:lineRule="auto"/>
        <w:jc w:val="both"/>
        <w:rPr>
          <w:rFonts w:ascii="Times New Roman" w:hAnsi="Times New Roman" w:cs="Times New Roman"/>
          <w:sz w:val="24"/>
          <w:szCs w:val="24"/>
        </w:rPr>
      </w:pPr>
    </w:p>
    <w:p w14:paraId="3FCC496B" w14:textId="77777777" w:rsidR="00FF4784" w:rsidRPr="002C57AF" w:rsidRDefault="00FF4784" w:rsidP="00FF4784">
      <w:pPr>
        <w:spacing w:line="240" w:lineRule="auto"/>
        <w:jc w:val="both"/>
        <w:rPr>
          <w:rFonts w:ascii="Times New Roman" w:hAnsi="Times New Roman" w:cs="Times New Roman"/>
          <w:i/>
          <w:iCs/>
          <w:color w:val="2F5496" w:themeColor="accent1" w:themeShade="BF"/>
          <w:sz w:val="24"/>
          <w:szCs w:val="24"/>
        </w:rPr>
      </w:pPr>
      <w:r w:rsidRPr="002C57AF">
        <w:rPr>
          <w:rFonts w:ascii="Times New Roman" w:hAnsi="Times New Roman" w:cs="Times New Roman"/>
          <w:i/>
          <w:iCs/>
          <w:color w:val="2F5496" w:themeColor="accent1" w:themeShade="BF"/>
          <w:sz w:val="24"/>
          <w:szCs w:val="24"/>
        </w:rPr>
        <w:t>Requisitos de Sustentabilidade:</w:t>
      </w:r>
    </w:p>
    <w:p w14:paraId="1B296DDB" w14:textId="77777777" w:rsidR="00FF4784" w:rsidRPr="00A56C52" w:rsidRDefault="00FF4784" w:rsidP="00FF4784">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A56C52">
        <w:rPr>
          <w:rFonts w:ascii="Times New Roman" w:hAnsi="Times New Roman" w:cs="Times New Roman"/>
          <w:sz w:val="24"/>
          <w:szCs w:val="24"/>
        </w:rPr>
        <w:t>A Contratada deverá observar as diretrizes, critérios e procedimentos para a gestão dos resíduos da construção civil estabelecidos na Lei nº 12.305, de 2010 – Política Nacional de Resíduos Sólidos, artigos 3º e 10º da Resolução nº 307, de 05/07/2002, do Conselho Nacional de Meio Ambiente – CONAMA, e Instrução Normativa SLTI/MPOG n° 1, de 19/01/2010.</w:t>
      </w:r>
    </w:p>
    <w:p w14:paraId="1F683830"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Os resíduos gerados na execução dos serviços não poderão ser dispostos em aterros de resíduos domiciliares, áreas de “bota fora”, encostas, corpos d´água, lotes vagos e áreas protegidas por Lei, bem como em áreas não licenciadas. Ao contrário, deverão ser </w:t>
      </w:r>
      <w:r w:rsidRPr="00A56C52">
        <w:rPr>
          <w:rFonts w:ascii="Times New Roman" w:hAnsi="Times New Roman" w:cs="Times New Roman"/>
          <w:sz w:val="24"/>
          <w:szCs w:val="24"/>
        </w:rPr>
        <w:lastRenderedPageBreak/>
        <w:t>destinados de acordo com os seguintes procedimentos, observando-se a classificação resíduos estabelecida pelo art. 3º da Resolução CONAMA n° 307, de 05/07/2022:</w:t>
      </w:r>
    </w:p>
    <w:p w14:paraId="7C4043CE" w14:textId="77777777" w:rsidR="00FF4784" w:rsidRPr="00A56C52" w:rsidRDefault="00FF4784" w:rsidP="00FF4784">
      <w:pPr>
        <w:pStyle w:val="PargrafodaLista"/>
        <w:numPr>
          <w:ilvl w:val="0"/>
          <w:numId w:val="1"/>
        </w:num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Classe A: deverão ser reutilizados ou reciclados na forma de agregados ou encaminhados a aterro de resíduos Classe A de reservação de material para usos futuros;</w:t>
      </w:r>
    </w:p>
    <w:p w14:paraId="487622C8" w14:textId="77777777" w:rsidR="00FF4784" w:rsidRPr="00A56C52" w:rsidRDefault="00FF4784" w:rsidP="00FF4784">
      <w:pPr>
        <w:pStyle w:val="PargrafodaLista"/>
        <w:numPr>
          <w:ilvl w:val="0"/>
          <w:numId w:val="1"/>
        </w:num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Classe B: deverão ser reutilizados, reciclados ou encaminhados a áreas de armazenamento temporário, sendo dispostos de modo a permitir a sua utilização ou reciclagem futura; </w:t>
      </w:r>
    </w:p>
    <w:p w14:paraId="772130B0" w14:textId="77777777" w:rsidR="00FF4784" w:rsidRPr="00A56C52" w:rsidRDefault="00FF4784" w:rsidP="00FF4784">
      <w:pPr>
        <w:pStyle w:val="PargrafodaLista"/>
        <w:numPr>
          <w:ilvl w:val="0"/>
          <w:numId w:val="1"/>
        </w:num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Classe C: deverão ser armazenados, transportados e destinados em conformidade com as normas técnicas específicas; </w:t>
      </w:r>
    </w:p>
    <w:p w14:paraId="4F55CE91" w14:textId="77777777" w:rsidR="00FF4784" w:rsidRPr="00A56C52" w:rsidRDefault="00FF4784" w:rsidP="00FF4784">
      <w:pPr>
        <w:pStyle w:val="PargrafodaLista"/>
        <w:numPr>
          <w:ilvl w:val="0"/>
          <w:numId w:val="1"/>
        </w:num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Classe D: deverão ser armazenados, transportados e destinados em conformidade com as normas técnicas específicas.</w:t>
      </w:r>
    </w:p>
    <w:p w14:paraId="29E2699E" w14:textId="77777777" w:rsidR="00FF4784" w:rsidRPr="00A56C52" w:rsidRDefault="00FF4784" w:rsidP="00FF4784">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A56C52">
        <w:rPr>
          <w:rFonts w:ascii="Times New Roman" w:hAnsi="Times New Roman" w:cs="Times New Roman"/>
          <w:sz w:val="24"/>
          <w:szCs w:val="24"/>
        </w:rPr>
        <w:t>Orienta-se que as embalagens de tintas eventualmente usadas na prestação dos serviços sejam direcionadas para os canais tradicionais de reciclagem já disponíveis ao público para serem submetidas a sistema de logística reversa.</w:t>
      </w:r>
    </w:p>
    <w:p w14:paraId="6DFA9D2D" w14:textId="77777777" w:rsidR="00FF4784" w:rsidRDefault="00FF4784" w:rsidP="00FF478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A56C52">
        <w:rPr>
          <w:rFonts w:ascii="Times New Roman" w:hAnsi="Times New Roman" w:cs="Times New Roman"/>
          <w:sz w:val="24"/>
          <w:szCs w:val="24"/>
        </w:rPr>
        <w:t>A contratada deverá adotar as práticas de sustentabilidade previstas no Decreto 7.746/2012 e no art. 6º da Instrução Normativa SLTI /MP nº 1, de 19/01/2010, no que couber.</w:t>
      </w:r>
    </w:p>
    <w:p w14:paraId="683ED214" w14:textId="7EBAAC69" w:rsidR="00783E7B" w:rsidRDefault="00783E7B" w:rsidP="00FF4784">
      <w:pPr>
        <w:autoSpaceDE w:val="0"/>
        <w:autoSpaceDN w:val="0"/>
        <w:adjustRightInd w:val="0"/>
        <w:spacing w:after="0" w:line="240" w:lineRule="auto"/>
        <w:jc w:val="both"/>
        <w:rPr>
          <w:rFonts w:ascii="Times New Roman" w:hAnsi="Times New Roman" w:cs="Times New Roman"/>
          <w:sz w:val="24"/>
          <w:szCs w:val="24"/>
        </w:rPr>
      </w:pPr>
    </w:p>
    <w:p w14:paraId="426CABD4" w14:textId="77777777" w:rsidR="00FF4784" w:rsidRDefault="00FF4784" w:rsidP="00FF4784">
      <w:pPr>
        <w:autoSpaceDE w:val="0"/>
        <w:autoSpaceDN w:val="0"/>
        <w:adjustRightInd w:val="0"/>
        <w:spacing w:after="0" w:line="240" w:lineRule="auto"/>
        <w:jc w:val="both"/>
        <w:rPr>
          <w:rFonts w:ascii="Times New Roman" w:hAnsi="Times New Roman" w:cs="Times New Roman"/>
          <w:sz w:val="24"/>
          <w:szCs w:val="24"/>
        </w:rPr>
      </w:pPr>
    </w:p>
    <w:p w14:paraId="5E08ADD2" w14:textId="77777777" w:rsidR="00FF4784" w:rsidRDefault="00FF4784" w:rsidP="00FF4784">
      <w:pPr>
        <w:autoSpaceDE w:val="0"/>
        <w:autoSpaceDN w:val="0"/>
        <w:adjustRightInd w:val="0"/>
        <w:spacing w:after="0" w:line="240" w:lineRule="auto"/>
        <w:jc w:val="both"/>
        <w:rPr>
          <w:rFonts w:ascii="Times New Roman" w:hAnsi="Times New Roman" w:cs="Times New Roman"/>
          <w:b/>
          <w:bCs/>
          <w:sz w:val="24"/>
          <w:szCs w:val="24"/>
        </w:rPr>
      </w:pPr>
      <w:r w:rsidRPr="00EB7984">
        <w:rPr>
          <w:rFonts w:ascii="Times New Roman" w:hAnsi="Times New Roman" w:cs="Times New Roman"/>
          <w:b/>
          <w:bCs/>
          <w:sz w:val="24"/>
          <w:szCs w:val="24"/>
        </w:rPr>
        <w:t xml:space="preserve">Inserir no item de obrigações da contratada: </w:t>
      </w:r>
    </w:p>
    <w:p w14:paraId="6BF5399F" w14:textId="77777777" w:rsidR="00C10B4A" w:rsidRPr="00EB7984" w:rsidRDefault="00C10B4A" w:rsidP="00FF4784">
      <w:pPr>
        <w:autoSpaceDE w:val="0"/>
        <w:autoSpaceDN w:val="0"/>
        <w:adjustRightInd w:val="0"/>
        <w:spacing w:after="0" w:line="240" w:lineRule="auto"/>
        <w:jc w:val="both"/>
        <w:rPr>
          <w:rFonts w:ascii="Times New Roman" w:hAnsi="Times New Roman" w:cs="Times New Roman"/>
          <w:b/>
          <w:bCs/>
          <w:sz w:val="24"/>
          <w:szCs w:val="24"/>
        </w:rPr>
      </w:pPr>
    </w:p>
    <w:p w14:paraId="0E0127E9" w14:textId="77777777" w:rsidR="00FF4784" w:rsidRPr="00DC2FA1" w:rsidRDefault="00FF4784" w:rsidP="00FF4784">
      <w:pPr>
        <w:spacing w:line="240" w:lineRule="auto"/>
        <w:jc w:val="both"/>
        <w:rPr>
          <w:rFonts w:ascii="Times New Roman" w:hAnsi="Times New Roman" w:cs="Times New Roman"/>
          <w:sz w:val="24"/>
          <w:szCs w:val="24"/>
        </w:rPr>
      </w:pPr>
      <w:r w:rsidRPr="00DC2FA1">
        <w:rPr>
          <w:rFonts w:ascii="Times New Roman" w:hAnsi="Times New Roman" w:cs="Times New Roman"/>
          <w:sz w:val="24"/>
          <w:szCs w:val="24"/>
        </w:rPr>
        <w:t xml:space="preserve">1. </w:t>
      </w:r>
      <w:r w:rsidRPr="00EB7984">
        <w:rPr>
          <w:rFonts w:ascii="Times New Roman" w:hAnsi="Times New Roman" w:cs="Times New Roman"/>
          <w:sz w:val="24"/>
          <w:szCs w:val="24"/>
        </w:rPr>
        <w:t xml:space="preserve">A contratada deverá utilizar somente matéria-prima florestal procedente, nos termos do artigo 11 do Decreto n° 5.975, de 2006, de: </w:t>
      </w:r>
    </w:p>
    <w:p w14:paraId="5D64C838" w14:textId="77777777" w:rsidR="00FF4784" w:rsidRPr="00937E20" w:rsidRDefault="00FF4784" w:rsidP="00FF4784">
      <w:pPr>
        <w:spacing w:line="240" w:lineRule="auto"/>
        <w:jc w:val="both"/>
        <w:rPr>
          <w:rFonts w:ascii="Times New Roman" w:hAnsi="Times New Roman" w:cs="Times New Roman"/>
          <w:sz w:val="24"/>
          <w:szCs w:val="24"/>
        </w:rPr>
      </w:pPr>
      <w:r w:rsidRPr="00DC2FA1">
        <w:rPr>
          <w:rFonts w:ascii="Times New Roman" w:hAnsi="Times New Roman" w:cs="Times New Roman"/>
          <w:sz w:val="24"/>
          <w:szCs w:val="24"/>
        </w:rPr>
        <w:t>a</w:t>
      </w:r>
      <w:r w:rsidRPr="00937E20">
        <w:rPr>
          <w:rFonts w:ascii="Times New Roman" w:hAnsi="Times New Roman" w:cs="Times New Roman"/>
          <w:sz w:val="24"/>
          <w:szCs w:val="24"/>
        </w:rPr>
        <w:t xml:space="preserve">) manejo florestal, realizado por meio de Plano de Manejo Florestal Sustentável - PMFS devidamente aprovado pelo órgão competente do Sistema Nacional do Meio Ambiente – SISNAMA; </w:t>
      </w:r>
    </w:p>
    <w:p w14:paraId="7E61FD7B" w14:textId="77777777" w:rsidR="00FF4784" w:rsidRPr="00937E20" w:rsidRDefault="00FF4784" w:rsidP="00FF4784">
      <w:pPr>
        <w:spacing w:line="240" w:lineRule="auto"/>
        <w:jc w:val="both"/>
        <w:rPr>
          <w:rFonts w:ascii="Times New Roman" w:hAnsi="Times New Roman" w:cs="Times New Roman"/>
          <w:sz w:val="24"/>
          <w:szCs w:val="24"/>
        </w:rPr>
      </w:pPr>
      <w:r w:rsidRPr="00DC2FA1">
        <w:rPr>
          <w:rFonts w:ascii="Times New Roman" w:hAnsi="Times New Roman" w:cs="Times New Roman"/>
          <w:sz w:val="24"/>
          <w:szCs w:val="24"/>
        </w:rPr>
        <w:t xml:space="preserve">b) </w:t>
      </w:r>
      <w:r w:rsidRPr="00937E20">
        <w:rPr>
          <w:rFonts w:ascii="Times New Roman" w:hAnsi="Times New Roman" w:cs="Times New Roman"/>
          <w:sz w:val="24"/>
          <w:szCs w:val="24"/>
        </w:rPr>
        <w:t xml:space="preserve">supressão da vegetação natural, devidamente autorizada pelo órgão competente do Sistema Nacional do Meio Ambiente – SISNAMA; </w:t>
      </w:r>
    </w:p>
    <w:p w14:paraId="10466287" w14:textId="77777777" w:rsidR="00FF4784" w:rsidRPr="00937E20" w:rsidRDefault="00FF4784" w:rsidP="00FF4784">
      <w:pPr>
        <w:spacing w:line="240" w:lineRule="auto"/>
        <w:jc w:val="both"/>
        <w:rPr>
          <w:rFonts w:ascii="Times New Roman" w:hAnsi="Times New Roman" w:cs="Times New Roman"/>
          <w:sz w:val="24"/>
          <w:szCs w:val="24"/>
        </w:rPr>
      </w:pPr>
      <w:r w:rsidRPr="00DC2FA1">
        <w:rPr>
          <w:rFonts w:ascii="Times New Roman" w:hAnsi="Times New Roman" w:cs="Times New Roman"/>
          <w:sz w:val="24"/>
          <w:szCs w:val="24"/>
        </w:rPr>
        <w:t xml:space="preserve">c) </w:t>
      </w:r>
      <w:r w:rsidRPr="00937E20">
        <w:rPr>
          <w:rFonts w:ascii="Times New Roman" w:hAnsi="Times New Roman" w:cs="Times New Roman"/>
          <w:sz w:val="24"/>
          <w:szCs w:val="24"/>
        </w:rPr>
        <w:t xml:space="preserve">florestas plantadas; e </w:t>
      </w:r>
    </w:p>
    <w:p w14:paraId="773E9ED8" w14:textId="77777777" w:rsidR="00FF4784" w:rsidRPr="00937E20" w:rsidRDefault="00FF4784" w:rsidP="00FF4784">
      <w:pPr>
        <w:spacing w:line="240" w:lineRule="auto"/>
        <w:jc w:val="both"/>
        <w:rPr>
          <w:rFonts w:ascii="Times New Roman" w:hAnsi="Times New Roman" w:cs="Times New Roman"/>
          <w:sz w:val="24"/>
          <w:szCs w:val="24"/>
        </w:rPr>
      </w:pPr>
      <w:r w:rsidRPr="00DC2FA1">
        <w:rPr>
          <w:rFonts w:ascii="Times New Roman" w:hAnsi="Times New Roman" w:cs="Times New Roman"/>
          <w:sz w:val="24"/>
          <w:szCs w:val="24"/>
        </w:rPr>
        <w:t xml:space="preserve">d) </w:t>
      </w:r>
      <w:r w:rsidRPr="00937E20">
        <w:rPr>
          <w:rFonts w:ascii="Times New Roman" w:hAnsi="Times New Roman" w:cs="Times New Roman"/>
          <w:sz w:val="24"/>
          <w:szCs w:val="24"/>
        </w:rPr>
        <w:t xml:space="preserve">outras fontes de biomassa florestal, definidas em normas específicas do órgão ambiental competente.” </w:t>
      </w:r>
    </w:p>
    <w:p w14:paraId="3860C173" w14:textId="77777777" w:rsidR="00FF4784" w:rsidRPr="00937E20" w:rsidRDefault="00FF4784" w:rsidP="00FF4784">
      <w:pPr>
        <w:spacing w:line="240" w:lineRule="auto"/>
        <w:jc w:val="both"/>
        <w:rPr>
          <w:rFonts w:ascii="Times New Roman" w:hAnsi="Times New Roman" w:cs="Times New Roman"/>
          <w:sz w:val="24"/>
          <w:szCs w:val="24"/>
        </w:rPr>
      </w:pPr>
      <w:r w:rsidRPr="00DC2FA1">
        <w:rPr>
          <w:rFonts w:ascii="Times New Roman" w:hAnsi="Times New Roman" w:cs="Times New Roman"/>
          <w:sz w:val="24"/>
          <w:szCs w:val="24"/>
        </w:rPr>
        <w:t xml:space="preserve">2. </w:t>
      </w:r>
      <w:r w:rsidRPr="00937E20">
        <w:rPr>
          <w:rFonts w:ascii="Times New Roman" w:hAnsi="Times New Roman" w:cs="Times New Roman"/>
          <w:sz w:val="24"/>
          <w:szCs w:val="24"/>
        </w:rPr>
        <w:t xml:space="preserve">A contratada deverá comprovar a procedência legal dos produtos ou subprodutos florestais utilizados em cada etapa da execução contratual, por ocasião da respectiva medição, mediante a apresentação dos seguintes documentos, conforme o caso: </w:t>
      </w:r>
    </w:p>
    <w:p w14:paraId="72EA31B7" w14:textId="77777777" w:rsidR="00FF4784" w:rsidRPr="00937E20" w:rsidRDefault="00FF4784" w:rsidP="00FF4784">
      <w:pPr>
        <w:spacing w:line="240" w:lineRule="auto"/>
        <w:jc w:val="both"/>
        <w:rPr>
          <w:rFonts w:ascii="Times New Roman" w:hAnsi="Times New Roman" w:cs="Times New Roman"/>
          <w:sz w:val="24"/>
          <w:szCs w:val="24"/>
        </w:rPr>
      </w:pPr>
      <w:r w:rsidRPr="00937E20">
        <w:rPr>
          <w:rFonts w:ascii="Times New Roman" w:hAnsi="Times New Roman" w:cs="Times New Roman"/>
          <w:sz w:val="24"/>
          <w:szCs w:val="24"/>
        </w:rPr>
        <w:t xml:space="preserve">a) Cópias autenticadas das notas fiscais de aquisição dos produtos ou subprodutos florestais; </w:t>
      </w:r>
    </w:p>
    <w:p w14:paraId="1D822AA0" w14:textId="77777777" w:rsidR="00FF4784" w:rsidRPr="00937E20" w:rsidRDefault="00FF4784" w:rsidP="00FF4784">
      <w:pPr>
        <w:spacing w:line="240" w:lineRule="auto"/>
        <w:jc w:val="both"/>
        <w:rPr>
          <w:rFonts w:ascii="Times New Roman" w:hAnsi="Times New Roman" w:cs="Times New Roman"/>
          <w:sz w:val="24"/>
          <w:szCs w:val="24"/>
        </w:rPr>
      </w:pPr>
      <w:r w:rsidRPr="00937E20">
        <w:rPr>
          <w:rFonts w:ascii="Times New Roman" w:hAnsi="Times New Roman" w:cs="Times New Roman"/>
          <w:sz w:val="24"/>
          <w:szCs w:val="24"/>
        </w:rPr>
        <w:t xml:space="preserve">b) Comprovantes de registro regular do fornecedor (comércio atacadista ou varejista) e do transportador dos produtos ou subprodutos florestais no Cadastro Técnico Federal de Atividades Potencialmente Poluidoras ou Utilizadoras de Recursos Ambientais – CTF/APP, mantido pelo IBAMA, quando tal inscrição for obrigatória, por meio da apresentação dos respectivos Certificados de Regularidade válidos, nos termos da Instrução Normativa IBAMA n° 13/2021 e legislação correlata; </w:t>
      </w:r>
    </w:p>
    <w:p w14:paraId="25A9FA64" w14:textId="77777777" w:rsidR="00FF4784" w:rsidRPr="00937E20" w:rsidRDefault="00FF4784" w:rsidP="00FF4784">
      <w:pPr>
        <w:spacing w:line="240" w:lineRule="auto"/>
        <w:jc w:val="both"/>
        <w:rPr>
          <w:rFonts w:ascii="Times New Roman" w:hAnsi="Times New Roman" w:cs="Times New Roman"/>
          <w:sz w:val="24"/>
          <w:szCs w:val="24"/>
        </w:rPr>
      </w:pPr>
      <w:r w:rsidRPr="00937E20">
        <w:rPr>
          <w:rFonts w:ascii="Times New Roman" w:hAnsi="Times New Roman" w:cs="Times New Roman"/>
          <w:sz w:val="24"/>
          <w:szCs w:val="24"/>
        </w:rPr>
        <w:lastRenderedPageBreak/>
        <w:t xml:space="preserve">b.1) A apresentação do Certificado de Regularidade será dispensada, caso o Gestor/Fiscal do contrato logre êxito em obtê-lo mediante consulta </w:t>
      </w:r>
      <w:proofErr w:type="spellStart"/>
      <w:r w:rsidRPr="00937E20">
        <w:rPr>
          <w:rFonts w:ascii="Times New Roman" w:hAnsi="Times New Roman" w:cs="Times New Roman"/>
          <w:sz w:val="24"/>
          <w:szCs w:val="24"/>
        </w:rPr>
        <w:t>on</w:t>
      </w:r>
      <w:proofErr w:type="spellEnd"/>
      <w:r w:rsidRPr="00937E20">
        <w:rPr>
          <w:rFonts w:ascii="Times New Roman" w:hAnsi="Times New Roman" w:cs="Times New Roman"/>
          <w:sz w:val="24"/>
          <w:szCs w:val="24"/>
        </w:rPr>
        <w:t xml:space="preserve"> </w:t>
      </w:r>
      <w:proofErr w:type="spellStart"/>
      <w:r w:rsidRPr="00937E20">
        <w:rPr>
          <w:rFonts w:ascii="Times New Roman" w:hAnsi="Times New Roman" w:cs="Times New Roman"/>
          <w:sz w:val="24"/>
          <w:szCs w:val="24"/>
        </w:rPr>
        <w:t>line</w:t>
      </w:r>
      <w:proofErr w:type="spellEnd"/>
      <w:r w:rsidRPr="00937E20">
        <w:rPr>
          <w:rFonts w:ascii="Times New Roman" w:hAnsi="Times New Roman" w:cs="Times New Roman"/>
          <w:sz w:val="24"/>
          <w:szCs w:val="24"/>
        </w:rPr>
        <w:t xml:space="preserve"> ao sítio oficial do IBAMA, anexando-o ao processo; </w:t>
      </w:r>
    </w:p>
    <w:p w14:paraId="04F7A600" w14:textId="77777777" w:rsidR="00FF4784" w:rsidRPr="00937E20" w:rsidRDefault="00FF4784" w:rsidP="00FF4784">
      <w:pPr>
        <w:spacing w:line="240" w:lineRule="auto"/>
        <w:jc w:val="both"/>
        <w:rPr>
          <w:rFonts w:ascii="Times New Roman" w:hAnsi="Times New Roman" w:cs="Times New Roman"/>
          <w:sz w:val="24"/>
          <w:szCs w:val="24"/>
        </w:rPr>
      </w:pPr>
      <w:r w:rsidRPr="00937E20">
        <w:rPr>
          <w:rFonts w:ascii="Times New Roman" w:hAnsi="Times New Roman" w:cs="Times New Roman"/>
          <w:sz w:val="24"/>
          <w:szCs w:val="24"/>
        </w:rPr>
        <w:t xml:space="preserve">c) Cópia dos Comprovantes do Documento de Origem Florestal ou de autorização no Sistema Nacional de Controle da Origem dos Produtos Florestais – </w:t>
      </w:r>
      <w:proofErr w:type="spellStart"/>
      <w:r w:rsidRPr="00937E20">
        <w:rPr>
          <w:rFonts w:ascii="Times New Roman" w:hAnsi="Times New Roman" w:cs="Times New Roman"/>
          <w:sz w:val="24"/>
          <w:szCs w:val="24"/>
        </w:rPr>
        <w:t>Sinaflor</w:t>
      </w:r>
      <w:proofErr w:type="spellEnd"/>
      <w:r w:rsidRPr="00937E20">
        <w:rPr>
          <w:rFonts w:ascii="Times New Roman" w:hAnsi="Times New Roman" w:cs="Times New Roman"/>
          <w:sz w:val="24"/>
          <w:szCs w:val="24"/>
        </w:rPr>
        <w:t xml:space="preserve">; </w:t>
      </w:r>
    </w:p>
    <w:p w14:paraId="2BA7EF0C" w14:textId="77777777" w:rsidR="00FF4784" w:rsidRPr="00937E20" w:rsidRDefault="00FF4784" w:rsidP="00FF4784">
      <w:pPr>
        <w:spacing w:line="240" w:lineRule="auto"/>
        <w:jc w:val="both"/>
        <w:rPr>
          <w:rFonts w:ascii="Times New Roman" w:hAnsi="Times New Roman" w:cs="Times New Roman"/>
          <w:sz w:val="24"/>
          <w:szCs w:val="24"/>
        </w:rPr>
      </w:pPr>
      <w:r w:rsidRPr="00937E20">
        <w:rPr>
          <w:rFonts w:ascii="Times New Roman" w:hAnsi="Times New Roman" w:cs="Times New Roman"/>
          <w:sz w:val="24"/>
          <w:szCs w:val="24"/>
        </w:rPr>
        <w:t>c.1) Caso os produtos ou subprodutos florestais utilizados na execução contratual tenham origem em Estado que possua documento de controle próprio, a Contratada deverá apresentá-lo, em complementação ao DOF/</w:t>
      </w:r>
      <w:proofErr w:type="spellStart"/>
      <w:r w:rsidRPr="00937E20">
        <w:rPr>
          <w:rFonts w:ascii="Times New Roman" w:hAnsi="Times New Roman" w:cs="Times New Roman"/>
          <w:sz w:val="24"/>
          <w:szCs w:val="24"/>
        </w:rPr>
        <w:t>Sinaflor</w:t>
      </w:r>
      <w:proofErr w:type="spellEnd"/>
      <w:r w:rsidRPr="00937E20">
        <w:rPr>
          <w:rFonts w:ascii="Times New Roman" w:hAnsi="Times New Roman" w:cs="Times New Roman"/>
          <w:sz w:val="24"/>
          <w:szCs w:val="24"/>
        </w:rPr>
        <w:t xml:space="preserve">, para fins de demonstrar a regularidade do transporte e armazenamento nos limites do território estadual. </w:t>
      </w:r>
    </w:p>
    <w:p w14:paraId="648A56CE" w14:textId="77777777" w:rsidR="00FF4784" w:rsidRPr="00DC2FA1" w:rsidRDefault="00FF4784" w:rsidP="00FF4784">
      <w:pPr>
        <w:spacing w:line="240" w:lineRule="auto"/>
        <w:jc w:val="both"/>
        <w:rPr>
          <w:rFonts w:ascii="Times New Roman" w:hAnsi="Times New Roman" w:cs="Times New Roman"/>
          <w:sz w:val="24"/>
          <w:szCs w:val="24"/>
        </w:rPr>
      </w:pPr>
      <w:r w:rsidRPr="00937E20">
        <w:rPr>
          <w:rFonts w:ascii="Times New Roman" w:hAnsi="Times New Roman" w:cs="Times New Roman"/>
          <w:sz w:val="24"/>
          <w:szCs w:val="24"/>
        </w:rPr>
        <w:t xml:space="preserve">d) Caso os produtos ou subprodutos florestais sejam exóticos/não-nativos (Ex.: eucalipto, pinus, teca), e caso o estado da federação não exija esse </w:t>
      </w:r>
      <w:r w:rsidRPr="00DC2FA1">
        <w:rPr>
          <w:rFonts w:ascii="Times New Roman" w:hAnsi="Times New Roman" w:cs="Times New Roman"/>
          <w:sz w:val="24"/>
          <w:szCs w:val="24"/>
        </w:rPr>
        <w:t xml:space="preserve">documento mesmo em se tratando de espécie exótica, a Contratada deverá apresentar declaração de que é isenta de DOF, por não se tratar de madeira nativa.” </w:t>
      </w:r>
    </w:p>
    <w:p w14:paraId="2A310690" w14:textId="77777777" w:rsidR="00FF4784" w:rsidRPr="00A56C52" w:rsidRDefault="00FF4784" w:rsidP="00FF4784">
      <w:pPr>
        <w:spacing w:after="0" w:line="240" w:lineRule="auto"/>
        <w:jc w:val="both"/>
        <w:rPr>
          <w:rFonts w:ascii="Times New Roman" w:hAnsi="Times New Roman" w:cs="Times New Roman"/>
          <w:sz w:val="24"/>
          <w:szCs w:val="24"/>
        </w:rPr>
      </w:pPr>
    </w:p>
    <w:p w14:paraId="35D5811A" w14:textId="77777777" w:rsidR="00FF4784" w:rsidRPr="00A56C52" w:rsidRDefault="00FF4784" w:rsidP="00FF4784">
      <w:pPr>
        <w:pStyle w:val="Default"/>
        <w:jc w:val="both"/>
        <w:rPr>
          <w:rFonts w:ascii="Times New Roman" w:eastAsiaTheme="minorHAnsi" w:hAnsi="Times New Roman" w:cs="Times New Roman"/>
          <w:i/>
          <w:iCs/>
          <w:color w:val="auto"/>
          <w:kern w:val="2"/>
        </w:rPr>
      </w:pPr>
      <w:r w:rsidRPr="002C57AF">
        <w:rPr>
          <w:rFonts w:ascii="Times New Roman" w:eastAsiaTheme="minorHAnsi" w:hAnsi="Times New Roman" w:cs="Times New Roman"/>
          <w:i/>
          <w:iCs/>
          <w:color w:val="2F5496" w:themeColor="accent1" w:themeShade="BF"/>
          <w:kern w:val="2"/>
        </w:rPr>
        <w:t>Possíveis impactos ambientais:</w:t>
      </w:r>
    </w:p>
    <w:p w14:paraId="5AC6A486" w14:textId="77777777" w:rsidR="00FF4784" w:rsidRPr="00A56C52" w:rsidRDefault="00FF4784" w:rsidP="00FF4784">
      <w:pPr>
        <w:spacing w:after="0" w:line="240" w:lineRule="auto"/>
        <w:jc w:val="both"/>
        <w:rPr>
          <w:rFonts w:ascii="Times New Roman" w:hAnsi="Times New Roman" w:cs="Times New Roman"/>
          <w:sz w:val="24"/>
          <w:szCs w:val="24"/>
        </w:rPr>
      </w:pPr>
    </w:p>
    <w:p w14:paraId="11A29FF8"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A execução dos serviços gera impacto ambiental, principalmente devido à geração de resíduos da construção civil. Os geradores de resíduos da construção civil devem ter como objetivo prioritário a não geração de resíduos e, secundariamente, a redução, a reutilização, a reciclagem, o tratamento dos resíduos sólidos e a disposição final ambientalmente adequada dos rejeitos.</w:t>
      </w:r>
    </w:p>
    <w:p w14:paraId="26DFA72A"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Os resíduos da construção civil subdividem-se em quatro classes (art. 3° da Resolução CONAMA 307/2002):</w:t>
      </w:r>
    </w:p>
    <w:p w14:paraId="6D1CC754"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I - Classe A - são os resíduos reutilizáveis ou recicláveis como agregados, tais como: a) de construção, demolição, reformas e reparos de pavimentação e de outras obras de infraestrutura, inclusive solos provenientes de terraplanagem; b) de construção, demolição, reformas e reparos de edificações: componentes cerâmicos (tijolos, blocos, telhas, placas de revestimento etc.), argamassa e concreto; c) de processo de fabricação e/ou demolição de peças pré-moldadas em concreto (blocos, tubos, meios-fios etc.) produzidas nos canteiros de obras; </w:t>
      </w:r>
    </w:p>
    <w:p w14:paraId="0417CFE4"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II - Classe B - são os resíduos recicláveis para outras destinações, tais como plásticos, papel, papelão, metais, vidros, madeiras, embalagens vazias de tintas imobiliárias e gesso; (Redação dada pela Resolução nº 469/2015);  </w:t>
      </w:r>
    </w:p>
    <w:p w14:paraId="208F005F"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III - Classe C - são os resíduos para os quais não foram desenvolvidas tecnologias ou aplicações economicamente viáveis que permitam a sua reciclagem ou recuperação;  </w:t>
      </w:r>
    </w:p>
    <w:p w14:paraId="290E0C3D" w14:textId="77777777" w:rsidR="00FF4784"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IV - Classe D - são resíduos perigosos oriundos do processo de construção, tais como tintas, solventes, óleos e outros ou aqueles contaminados ou prejudiciais à saúde oriundos de demolições, reformas e reparos de clínicas radiológicas, instalações industriais e outros, bem como telhas e demais objetos e materiais que contenham amianto ou outros produtos nocivos à saúde.</w:t>
      </w:r>
    </w:p>
    <w:p w14:paraId="1AF83DD4" w14:textId="77777777" w:rsidR="00FF4784" w:rsidRPr="00D22DBB" w:rsidRDefault="00FF4784" w:rsidP="00FF4784">
      <w:pPr>
        <w:pStyle w:val="Default"/>
        <w:jc w:val="both"/>
        <w:rPr>
          <w:rFonts w:ascii="Arial" w:eastAsiaTheme="minorHAnsi" w:hAnsi="Arial" w:cs="Arial"/>
          <w:color w:val="auto"/>
        </w:rPr>
      </w:pPr>
      <w:r>
        <w:rPr>
          <w:rFonts w:ascii="Times New Roman" w:hAnsi="Times New Roman" w:cs="Times New Roman"/>
        </w:rPr>
        <w:t>Além disso, a</w:t>
      </w:r>
      <w:r w:rsidRPr="00D22DBB">
        <w:rPr>
          <w:rFonts w:ascii="Times New Roman" w:hAnsi="Times New Roman" w:cs="Times New Roman"/>
          <w:color w:val="auto"/>
          <w:kern w:val="2"/>
        </w:rPr>
        <w:t xml:space="preserve">s empresas que utilizam matéria-prima florestal são obrigadas a se suprir de recursos oriundos de: </w:t>
      </w:r>
    </w:p>
    <w:p w14:paraId="4068B44C" w14:textId="77777777" w:rsidR="00FF4784" w:rsidRPr="00D22DBB" w:rsidRDefault="00FF4784" w:rsidP="00FF4784">
      <w:pPr>
        <w:autoSpaceDE w:val="0"/>
        <w:autoSpaceDN w:val="0"/>
        <w:adjustRightInd w:val="0"/>
        <w:spacing w:after="0" w:line="240" w:lineRule="auto"/>
        <w:jc w:val="both"/>
        <w:rPr>
          <w:rFonts w:ascii="Times New Roman" w:hAnsi="Times New Roman" w:cs="Times New Roman"/>
          <w:sz w:val="24"/>
          <w:szCs w:val="24"/>
        </w:rPr>
      </w:pPr>
      <w:r w:rsidRPr="00D22DBB">
        <w:rPr>
          <w:rFonts w:ascii="Times New Roman" w:hAnsi="Times New Roman" w:cs="Times New Roman"/>
          <w:sz w:val="24"/>
          <w:szCs w:val="24"/>
        </w:rPr>
        <w:t xml:space="preserve">I. manejo florestal, realizado por meio de Plano de Manejo Florestal Sustentável - PMFS devidamente aprovado; </w:t>
      </w:r>
    </w:p>
    <w:p w14:paraId="0BD9AFFD" w14:textId="77777777" w:rsidR="00FF4784" w:rsidRPr="00D22DBB" w:rsidRDefault="00FF4784" w:rsidP="00FF4784">
      <w:pPr>
        <w:autoSpaceDE w:val="0"/>
        <w:autoSpaceDN w:val="0"/>
        <w:adjustRightInd w:val="0"/>
        <w:spacing w:after="0" w:line="240" w:lineRule="auto"/>
        <w:jc w:val="both"/>
        <w:rPr>
          <w:rFonts w:ascii="Times New Roman" w:hAnsi="Times New Roman" w:cs="Times New Roman"/>
          <w:sz w:val="24"/>
          <w:szCs w:val="24"/>
        </w:rPr>
      </w:pPr>
      <w:r w:rsidRPr="00D22DBB">
        <w:rPr>
          <w:rFonts w:ascii="Times New Roman" w:hAnsi="Times New Roman" w:cs="Times New Roman"/>
          <w:sz w:val="24"/>
          <w:szCs w:val="24"/>
        </w:rPr>
        <w:lastRenderedPageBreak/>
        <w:t xml:space="preserve">II. supressão da vegetação natural, devidamente autorizada; </w:t>
      </w:r>
    </w:p>
    <w:p w14:paraId="3941315C" w14:textId="77777777" w:rsidR="00FF4784" w:rsidRPr="00D22DBB" w:rsidRDefault="00FF4784" w:rsidP="00FF4784">
      <w:pPr>
        <w:autoSpaceDE w:val="0"/>
        <w:autoSpaceDN w:val="0"/>
        <w:adjustRightInd w:val="0"/>
        <w:spacing w:after="0" w:line="240" w:lineRule="auto"/>
        <w:jc w:val="both"/>
        <w:rPr>
          <w:rFonts w:ascii="Times New Roman" w:hAnsi="Times New Roman" w:cs="Times New Roman"/>
          <w:sz w:val="24"/>
          <w:szCs w:val="24"/>
        </w:rPr>
      </w:pPr>
      <w:r w:rsidRPr="00D22DBB">
        <w:rPr>
          <w:rFonts w:ascii="Times New Roman" w:hAnsi="Times New Roman" w:cs="Times New Roman"/>
          <w:sz w:val="24"/>
          <w:szCs w:val="24"/>
        </w:rPr>
        <w:t xml:space="preserve">III. florestas plantadas; e </w:t>
      </w:r>
    </w:p>
    <w:p w14:paraId="150F75F5" w14:textId="77777777" w:rsidR="00FF4784" w:rsidRDefault="00FF4784" w:rsidP="00FF4784">
      <w:pPr>
        <w:spacing w:line="240" w:lineRule="auto"/>
        <w:jc w:val="both"/>
        <w:rPr>
          <w:rFonts w:ascii="Times New Roman" w:hAnsi="Times New Roman" w:cs="Times New Roman"/>
          <w:sz w:val="24"/>
          <w:szCs w:val="24"/>
        </w:rPr>
      </w:pPr>
      <w:r w:rsidRPr="00D22DBB">
        <w:rPr>
          <w:rFonts w:ascii="Times New Roman" w:hAnsi="Times New Roman" w:cs="Times New Roman"/>
          <w:sz w:val="24"/>
          <w:szCs w:val="24"/>
        </w:rPr>
        <w:t xml:space="preserve">IV. outras fontes de biomassa florestal, definidas em normas específicas do órgão ambiental competente. </w:t>
      </w:r>
    </w:p>
    <w:p w14:paraId="0D2D0230"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12B9982C"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A Resolução CONAMA nº 307, de 05/07/2002, em seu art. 3º, § 2º, determina que “As embalagens de tintas usadas na construção civil serão submetidas a sistema de logística reversa, conforme requisitos da Lei nº 12.305/2010, que contemple a destinação ambientalmente adequados dos resíduos de tintas presentes nas embalagens”. Considerando que entre os serviços previstos na contratação constam demandas relativas à pintura, em consulta o Sistema Nacional de Informações sobre a Gestão dos Resíduos Sólidos (</w:t>
      </w:r>
      <w:hyperlink r:id="rId5" w:history="1">
        <w:r w:rsidRPr="00A56C52">
          <w:rPr>
            <w:rStyle w:val="Hyperlink"/>
            <w:rFonts w:ascii="Times New Roman" w:hAnsi="Times New Roman" w:cs="Times New Roman"/>
            <w:sz w:val="24"/>
            <w:szCs w:val="24"/>
          </w:rPr>
          <w:t>SINIR</w:t>
        </w:r>
      </w:hyperlink>
      <w:r w:rsidRPr="00A56C52">
        <w:rPr>
          <w:rFonts w:ascii="Times New Roman" w:hAnsi="Times New Roman" w:cs="Times New Roman"/>
          <w:sz w:val="24"/>
          <w:szCs w:val="24"/>
        </w:rPr>
        <w:t xml:space="preserve">), verificou-se que há </w:t>
      </w:r>
      <w:hyperlink r:id="rId6" w:history="1">
        <w:r w:rsidRPr="00A56C52">
          <w:rPr>
            <w:rStyle w:val="Hyperlink"/>
            <w:rFonts w:ascii="Times New Roman" w:hAnsi="Times New Roman" w:cs="Times New Roman"/>
            <w:sz w:val="24"/>
            <w:szCs w:val="24"/>
          </w:rPr>
          <w:t>ACORDO SETORIAL PARA IMPLANTAÇÃO DO SISTEMA DE LOGÍSTICA REVERSA DE EMBALAGENS EM GERAL</w:t>
        </w:r>
      </w:hyperlink>
      <w:r w:rsidRPr="00A56C52">
        <w:rPr>
          <w:rFonts w:ascii="Times New Roman" w:hAnsi="Times New Roman" w:cs="Times New Roman"/>
          <w:sz w:val="24"/>
          <w:szCs w:val="24"/>
        </w:rPr>
        <w:t xml:space="preserve">, o qual contempla embalagens de tinta. </w:t>
      </w:r>
    </w:p>
    <w:p w14:paraId="750F9451" w14:textId="77777777" w:rsidR="00FF4784" w:rsidRPr="00A56C52" w:rsidRDefault="00FF4784" w:rsidP="00FF4784">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Nesse sentido, foi previsto nos requisitos de sustentabilidade orientação para que as contratadas façam a destinação destas embalagens em canais tradicionais de reciclagem. </w:t>
      </w:r>
    </w:p>
    <w:p w14:paraId="71B9DA70" w14:textId="77777777" w:rsidR="00FF4784" w:rsidRPr="00A56C52" w:rsidRDefault="00FF4784" w:rsidP="00FF4784">
      <w:pPr>
        <w:spacing w:line="240" w:lineRule="auto"/>
        <w:jc w:val="both"/>
        <w:rPr>
          <w:rFonts w:ascii="Times New Roman" w:hAnsi="Times New Roman" w:cs="Times New Roman"/>
          <w:sz w:val="24"/>
          <w:szCs w:val="24"/>
        </w:rPr>
      </w:pPr>
    </w:p>
    <w:p w14:paraId="01FDF400" w14:textId="77777777" w:rsidR="00FF4784" w:rsidRPr="00A56C52" w:rsidRDefault="00FF4784" w:rsidP="00FF4784">
      <w:pPr>
        <w:spacing w:line="240" w:lineRule="auto"/>
        <w:jc w:val="both"/>
        <w:rPr>
          <w:rFonts w:ascii="Times New Roman" w:hAnsi="Times New Roman" w:cs="Times New Roman"/>
          <w:sz w:val="24"/>
          <w:szCs w:val="24"/>
        </w:rPr>
      </w:pPr>
    </w:p>
    <w:p w14:paraId="06865A7A" w14:textId="77777777" w:rsidR="00FF4784" w:rsidRDefault="00FF4784"/>
    <w:sectPr w:rsidR="00FF478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32D6089"/>
    <w:multiLevelType w:val="hybridMultilevel"/>
    <w:tmpl w:val="5BF4FE34"/>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72396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4784"/>
    <w:rsid w:val="00005E82"/>
    <w:rsid w:val="000E386B"/>
    <w:rsid w:val="001706C2"/>
    <w:rsid w:val="001764E3"/>
    <w:rsid w:val="00337E98"/>
    <w:rsid w:val="0035453E"/>
    <w:rsid w:val="003D6347"/>
    <w:rsid w:val="00783E7B"/>
    <w:rsid w:val="007D5518"/>
    <w:rsid w:val="0090638F"/>
    <w:rsid w:val="00931AE6"/>
    <w:rsid w:val="00947674"/>
    <w:rsid w:val="009A1D06"/>
    <w:rsid w:val="00A54EB9"/>
    <w:rsid w:val="00A70242"/>
    <w:rsid w:val="00C10B4A"/>
    <w:rsid w:val="00DA2703"/>
    <w:rsid w:val="00F33D92"/>
    <w:rsid w:val="00F41D85"/>
    <w:rsid w:val="00FB5BBD"/>
    <w:rsid w:val="00FD74FF"/>
    <w:rsid w:val="00FF478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297B0"/>
  <w15:chartTrackingRefBased/>
  <w15:docId w15:val="{C5F0C484-09A2-468C-A01D-178787138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FF4784"/>
    <w:pPr>
      <w:ind w:left="720"/>
      <w:contextualSpacing/>
    </w:pPr>
  </w:style>
  <w:style w:type="paragraph" w:customStyle="1" w:styleId="Default">
    <w:name w:val="Default"/>
    <w:rsid w:val="00FF4784"/>
    <w:pPr>
      <w:autoSpaceDE w:val="0"/>
      <w:autoSpaceDN w:val="0"/>
      <w:adjustRightInd w:val="0"/>
      <w:spacing w:after="0" w:line="240" w:lineRule="auto"/>
    </w:pPr>
    <w:rPr>
      <w:rFonts w:ascii="Malgun Gothic" w:eastAsia="Malgun Gothic" w:cs="Malgun Gothic"/>
      <w:color w:val="000000"/>
      <w:kern w:val="0"/>
      <w:sz w:val="24"/>
      <w:szCs w:val="24"/>
    </w:rPr>
  </w:style>
  <w:style w:type="character" w:styleId="Hyperlink">
    <w:name w:val="Hyperlink"/>
    <w:basedOn w:val="Fontepargpadro"/>
    <w:uiPriority w:val="99"/>
    <w:unhideWhenUsed/>
    <w:rsid w:val="00FF478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ortal-api.sinir.gov.br/wp-content/uploads/2022/05/Acordo_embalagens.pdf" TargetMode="External"/><Relationship Id="rId5" Type="http://schemas.openxmlformats.org/officeDocument/2006/relationships/hyperlink" Target="https://sinir.gov.br/perfis/logistica-reversa/logistica-reversa/" TargetMode="Externa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5</Pages>
  <Words>1947</Words>
  <Characters>10517</Characters>
  <Application>Microsoft Office Word</Application>
  <DocSecurity>0</DocSecurity>
  <Lines>87</Lines>
  <Paragraphs>24</Paragraphs>
  <ScaleCrop>false</ScaleCrop>
  <Company/>
  <LinksUpToDate>false</LinksUpToDate>
  <CharactersWithSpaces>12440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18</cp:revision>
  <dcterms:created xsi:type="dcterms:W3CDTF">2025-08-07T13:48:00Z</dcterms:created>
  <dcterms:modified xsi:type="dcterms:W3CDTF">2025-08-16T19:38:00Z</dcterms:modified>
</cp:coreProperties>
</file>